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B8F1" w14:textId="77777777" w:rsidR="0010533D" w:rsidRPr="007E295F" w:rsidRDefault="0010533D" w:rsidP="00864CE4">
      <w:pPr>
        <w:pStyle w:val="Standard"/>
        <w:suppressAutoHyphens w:val="0"/>
        <w:autoSpaceDE w:val="0"/>
        <w:jc w:val="center"/>
        <w:rPr>
          <w:b/>
          <w:color w:val="000000" w:themeColor="text1"/>
          <w:sz w:val="24"/>
          <w:szCs w:val="24"/>
          <w:lang w:eastAsia="fr-FR"/>
        </w:rPr>
      </w:pPr>
      <w:r w:rsidRPr="007E295F">
        <w:rPr>
          <w:b/>
          <w:color w:val="000000" w:themeColor="text1"/>
          <w:sz w:val="24"/>
          <w:szCs w:val="24"/>
          <w:lang w:eastAsia="fr-FR"/>
        </w:rPr>
        <w:t>21èmes rencontres du RIUESS</w:t>
      </w:r>
    </w:p>
    <w:p w14:paraId="38F5D948" w14:textId="77777777" w:rsidR="0010533D" w:rsidRPr="007E295F" w:rsidRDefault="0010533D" w:rsidP="0010533D">
      <w:pPr>
        <w:pStyle w:val="Standard"/>
        <w:suppressAutoHyphens w:val="0"/>
        <w:autoSpaceDE w:val="0"/>
        <w:jc w:val="center"/>
        <w:rPr>
          <w:b/>
          <w:color w:val="000000" w:themeColor="text1"/>
          <w:sz w:val="24"/>
          <w:szCs w:val="24"/>
          <w:lang w:eastAsia="fr-FR"/>
        </w:rPr>
      </w:pPr>
      <w:r w:rsidRPr="007E295F">
        <w:rPr>
          <w:b/>
          <w:color w:val="000000" w:themeColor="text1"/>
          <w:sz w:val="24"/>
          <w:szCs w:val="24"/>
          <w:lang w:eastAsia="fr-FR"/>
        </w:rPr>
        <w:t>Bordeaux</w:t>
      </w:r>
    </w:p>
    <w:p w14:paraId="4A9D6FEE" w14:textId="77777777" w:rsidR="0010533D" w:rsidRPr="007E295F" w:rsidRDefault="0010533D" w:rsidP="0010533D">
      <w:pPr>
        <w:pStyle w:val="Standard"/>
        <w:suppressAutoHyphens w:val="0"/>
        <w:autoSpaceDE w:val="0"/>
        <w:jc w:val="center"/>
        <w:rPr>
          <w:b/>
          <w:color w:val="000000" w:themeColor="text1"/>
          <w:sz w:val="24"/>
          <w:szCs w:val="24"/>
          <w:lang w:eastAsia="fr-FR"/>
        </w:rPr>
      </w:pPr>
      <w:r w:rsidRPr="007E295F">
        <w:rPr>
          <w:b/>
          <w:color w:val="000000" w:themeColor="text1"/>
          <w:sz w:val="24"/>
          <w:szCs w:val="24"/>
          <w:lang w:eastAsia="fr-FR"/>
        </w:rPr>
        <w:t>« L’ESS, actrices des transitions ? »</w:t>
      </w:r>
    </w:p>
    <w:p w14:paraId="14DBCFF6" w14:textId="77777777" w:rsidR="0010533D" w:rsidRPr="007E295F" w:rsidRDefault="0010533D" w:rsidP="0010533D">
      <w:pPr>
        <w:pStyle w:val="Standard"/>
        <w:suppressAutoHyphens w:val="0"/>
        <w:autoSpaceDE w:val="0"/>
        <w:jc w:val="center"/>
        <w:rPr>
          <w:b/>
          <w:color w:val="000000" w:themeColor="text1"/>
          <w:sz w:val="24"/>
          <w:szCs w:val="24"/>
          <w:lang w:eastAsia="fr-FR"/>
        </w:rPr>
      </w:pPr>
      <w:r w:rsidRPr="007E295F">
        <w:rPr>
          <w:b/>
          <w:color w:val="000000" w:themeColor="text1"/>
          <w:sz w:val="24"/>
          <w:szCs w:val="24"/>
          <w:lang w:eastAsia="fr-FR"/>
        </w:rPr>
        <w:t>1-3 juin 2022</w:t>
      </w:r>
    </w:p>
    <w:p w14:paraId="4FC5C351" w14:textId="77777777" w:rsidR="0010533D" w:rsidRPr="00252443" w:rsidRDefault="0010533D" w:rsidP="0010533D">
      <w:pPr>
        <w:pStyle w:val="Standard"/>
        <w:suppressAutoHyphens w:val="0"/>
        <w:autoSpaceDE w:val="0"/>
        <w:rPr>
          <w:bCs/>
          <w:i/>
          <w:iCs/>
          <w:color w:val="000000" w:themeColor="text1"/>
          <w:sz w:val="24"/>
          <w:szCs w:val="24"/>
          <w:lang w:eastAsia="fr-FR"/>
        </w:rPr>
      </w:pPr>
    </w:p>
    <w:p w14:paraId="1B8A8643" w14:textId="2A01B90B" w:rsidR="00551606" w:rsidRPr="00252443" w:rsidRDefault="00551606" w:rsidP="0010533D">
      <w:pPr>
        <w:pStyle w:val="Standard"/>
        <w:suppressAutoHyphens w:val="0"/>
        <w:autoSpaceDE w:val="0"/>
        <w:jc w:val="center"/>
        <w:rPr>
          <w:bCs/>
          <w:i/>
          <w:iCs/>
          <w:color w:val="000000" w:themeColor="text1"/>
          <w:sz w:val="24"/>
          <w:szCs w:val="24"/>
          <w:lang w:eastAsia="fr-FR"/>
        </w:rPr>
      </w:pPr>
      <w:r w:rsidRPr="00252443">
        <w:rPr>
          <w:bCs/>
          <w:i/>
          <w:iCs/>
          <w:color w:val="000000" w:themeColor="text1"/>
          <w:sz w:val="24"/>
          <w:szCs w:val="24"/>
          <w:lang w:eastAsia="fr-FR"/>
        </w:rPr>
        <w:t>Document de travail, ne pas citer</w:t>
      </w:r>
    </w:p>
    <w:p w14:paraId="34BA59BB" w14:textId="77777777" w:rsidR="00551606" w:rsidRDefault="00551606" w:rsidP="0010533D">
      <w:pPr>
        <w:pStyle w:val="Standard"/>
        <w:suppressAutoHyphens w:val="0"/>
        <w:autoSpaceDE w:val="0"/>
        <w:jc w:val="center"/>
        <w:rPr>
          <w:bCs/>
          <w:color w:val="000000" w:themeColor="text1"/>
          <w:sz w:val="24"/>
          <w:szCs w:val="24"/>
          <w:lang w:eastAsia="fr-FR"/>
        </w:rPr>
      </w:pPr>
    </w:p>
    <w:p w14:paraId="4BECE43C" w14:textId="2C4D837F" w:rsidR="0010533D" w:rsidRPr="007E295F" w:rsidRDefault="0010533D" w:rsidP="0010533D">
      <w:pPr>
        <w:pStyle w:val="Standard"/>
        <w:suppressAutoHyphens w:val="0"/>
        <w:autoSpaceDE w:val="0"/>
        <w:jc w:val="center"/>
        <w:rPr>
          <w:bCs/>
          <w:color w:val="000000" w:themeColor="text1"/>
          <w:sz w:val="24"/>
          <w:szCs w:val="24"/>
        </w:rPr>
      </w:pPr>
      <w:r w:rsidRPr="007E295F">
        <w:rPr>
          <w:bCs/>
          <w:color w:val="000000" w:themeColor="text1"/>
          <w:sz w:val="24"/>
          <w:szCs w:val="24"/>
          <w:lang w:eastAsia="fr-FR"/>
        </w:rPr>
        <w:t>« Analyse d’une recherche-action dans le secteur de l’insertion à partir de ses formes politiques a priori et effectives »</w:t>
      </w:r>
      <w:r w:rsidRPr="007E295F">
        <w:rPr>
          <w:rStyle w:val="Appelnotedebasdep"/>
          <w:bCs/>
          <w:color w:val="000000" w:themeColor="text1"/>
          <w:sz w:val="24"/>
          <w:szCs w:val="24"/>
          <w:lang w:eastAsia="fr-FR"/>
        </w:rPr>
        <w:footnoteReference w:id="1"/>
      </w:r>
    </w:p>
    <w:p w14:paraId="59FC9D8C" w14:textId="77777777" w:rsidR="0010533D" w:rsidRPr="007E295F" w:rsidRDefault="0010533D" w:rsidP="0010533D">
      <w:pPr>
        <w:pStyle w:val="Standard"/>
        <w:ind w:left="7230"/>
        <w:jc w:val="both"/>
        <w:rPr>
          <w:color w:val="000000" w:themeColor="text1"/>
          <w:sz w:val="24"/>
          <w:szCs w:val="24"/>
        </w:rPr>
      </w:pPr>
    </w:p>
    <w:p w14:paraId="58D3AC25" w14:textId="5EDA49B3" w:rsidR="0010533D" w:rsidRPr="007E295F" w:rsidRDefault="0010533D" w:rsidP="0010533D">
      <w:pPr>
        <w:jc w:val="both"/>
        <w:rPr>
          <w:bCs/>
          <w:color w:val="000000" w:themeColor="text1"/>
        </w:rPr>
      </w:pPr>
      <w:r w:rsidRPr="007E295F">
        <w:rPr>
          <w:bCs/>
          <w:color w:val="000000" w:themeColor="text1"/>
        </w:rPr>
        <w:t xml:space="preserve">Collectif PICOTE [projets interdisciplinaires coopératifs territoriaux] </w:t>
      </w:r>
    </w:p>
    <w:p w14:paraId="324FBC3A" w14:textId="37F4C1EE" w:rsidR="0010533D" w:rsidRPr="007E295F" w:rsidRDefault="0010533D" w:rsidP="00E24E73">
      <w:pPr>
        <w:jc w:val="both"/>
        <w:rPr>
          <w:bCs/>
          <w:color w:val="000000" w:themeColor="text1"/>
        </w:rPr>
      </w:pPr>
      <w:r w:rsidRPr="007E295F">
        <w:rPr>
          <w:bCs/>
          <w:color w:val="000000" w:themeColor="text1"/>
        </w:rPr>
        <w:t xml:space="preserve">Bernard </w:t>
      </w:r>
      <w:proofErr w:type="spellStart"/>
      <w:r w:rsidRPr="007E295F">
        <w:rPr>
          <w:bCs/>
          <w:color w:val="000000" w:themeColor="text1"/>
        </w:rPr>
        <w:t>Balzani</w:t>
      </w:r>
      <w:proofErr w:type="spellEnd"/>
      <w:r w:rsidRPr="007E295F">
        <w:rPr>
          <w:bCs/>
          <w:color w:val="000000" w:themeColor="text1"/>
        </w:rPr>
        <w:t xml:space="preserve">, </w:t>
      </w:r>
      <w:r w:rsidRPr="007E295F">
        <w:rPr>
          <w:bCs/>
          <w:color w:val="000000" w:themeColor="text1"/>
        </w:rPr>
        <w:t>2L2S, Université de Lorraine</w:t>
      </w:r>
    </w:p>
    <w:p w14:paraId="28A415AB" w14:textId="72473F2E" w:rsidR="0010533D" w:rsidRPr="007E295F" w:rsidRDefault="0010533D" w:rsidP="00E24E73">
      <w:pPr>
        <w:jc w:val="both"/>
        <w:rPr>
          <w:bCs/>
          <w:color w:val="000000" w:themeColor="text1"/>
        </w:rPr>
      </w:pPr>
      <w:r w:rsidRPr="007E295F">
        <w:rPr>
          <w:bCs/>
          <w:color w:val="000000" w:themeColor="text1"/>
        </w:rPr>
        <w:t>Melaine Cervera, 2L2S, Université de Lorraine</w:t>
      </w:r>
    </w:p>
    <w:p w14:paraId="64F5C6DB" w14:textId="45292033" w:rsidR="0010533D" w:rsidRPr="007E295F" w:rsidRDefault="0010533D" w:rsidP="00E24E73">
      <w:pPr>
        <w:jc w:val="both"/>
        <w:rPr>
          <w:bCs/>
          <w:color w:val="000000" w:themeColor="text1"/>
        </w:rPr>
      </w:pPr>
      <w:proofErr w:type="spellStart"/>
      <w:r w:rsidRPr="007E295F">
        <w:rPr>
          <w:bCs/>
          <w:color w:val="000000" w:themeColor="text1"/>
        </w:rPr>
        <w:t>Elise</w:t>
      </w:r>
      <w:proofErr w:type="spellEnd"/>
      <w:r w:rsidRPr="007E295F">
        <w:rPr>
          <w:bCs/>
          <w:color w:val="000000" w:themeColor="text1"/>
        </w:rPr>
        <w:t xml:space="preserve"> </w:t>
      </w:r>
      <w:proofErr w:type="spellStart"/>
      <w:r w:rsidRPr="007E295F">
        <w:rPr>
          <w:bCs/>
          <w:color w:val="000000" w:themeColor="text1"/>
        </w:rPr>
        <w:t>Marcandella</w:t>
      </w:r>
      <w:proofErr w:type="spellEnd"/>
      <w:r w:rsidRPr="007E295F">
        <w:rPr>
          <w:bCs/>
          <w:color w:val="000000" w:themeColor="text1"/>
        </w:rPr>
        <w:t>, CEREFIGE, Université de Lorraine</w:t>
      </w:r>
    </w:p>
    <w:p w14:paraId="55C52B54" w14:textId="1E2C0E9E" w:rsidR="0010533D" w:rsidRPr="007E295F" w:rsidRDefault="0010533D" w:rsidP="00E24E73">
      <w:pPr>
        <w:jc w:val="both"/>
        <w:rPr>
          <w:bCs/>
          <w:color w:val="000000" w:themeColor="text1"/>
        </w:rPr>
      </w:pPr>
      <w:r w:rsidRPr="007E295F">
        <w:rPr>
          <w:bCs/>
          <w:color w:val="000000" w:themeColor="text1"/>
        </w:rPr>
        <w:t>Sylvain Starck, LISEC, Université de Lorraine</w:t>
      </w:r>
    </w:p>
    <w:p w14:paraId="3A24B23C" w14:textId="77777777" w:rsidR="00093A4A" w:rsidRPr="007E295F" w:rsidRDefault="00093A4A" w:rsidP="00E24E73">
      <w:pPr>
        <w:jc w:val="both"/>
        <w:rPr>
          <w:color w:val="000000" w:themeColor="text1"/>
        </w:rPr>
      </w:pPr>
    </w:p>
    <w:p w14:paraId="2CD67473" w14:textId="77777777" w:rsidR="004C628A" w:rsidRPr="007E295F" w:rsidRDefault="004C628A" w:rsidP="00E24E73">
      <w:pPr>
        <w:pStyle w:val="Paragraphedeliste"/>
        <w:numPr>
          <w:ilvl w:val="0"/>
          <w:numId w:val="1"/>
        </w:numPr>
        <w:jc w:val="both"/>
        <w:rPr>
          <w:color w:val="000000" w:themeColor="text1"/>
        </w:rPr>
      </w:pPr>
      <w:r w:rsidRPr="007E295F">
        <w:rPr>
          <w:color w:val="000000" w:themeColor="text1"/>
        </w:rPr>
        <w:t>Un contexte socio-historique qui oblige à se situer en tant qu’acteur du champ scientifique</w:t>
      </w:r>
    </w:p>
    <w:p w14:paraId="3A3E32A6" w14:textId="77777777" w:rsidR="004C628A" w:rsidRPr="007E295F" w:rsidRDefault="004C628A" w:rsidP="00E24E73">
      <w:pPr>
        <w:jc w:val="both"/>
        <w:rPr>
          <w:color w:val="000000" w:themeColor="text1"/>
        </w:rPr>
      </w:pPr>
    </w:p>
    <w:p w14:paraId="7F29E018" w14:textId="77AB9A17" w:rsidR="0068001C" w:rsidRDefault="00093A4A" w:rsidP="00E24E73">
      <w:pPr>
        <w:jc w:val="both"/>
        <w:rPr>
          <w:color w:val="000000" w:themeColor="text1"/>
        </w:rPr>
      </w:pPr>
      <w:r w:rsidRPr="007E295F">
        <w:rPr>
          <w:color w:val="000000" w:themeColor="text1"/>
        </w:rPr>
        <w:t>L’ambition</w:t>
      </w:r>
      <w:r w:rsidR="00C70182" w:rsidRPr="007E295F">
        <w:rPr>
          <w:color w:val="000000" w:themeColor="text1"/>
        </w:rPr>
        <w:t xml:space="preserve"> est ici</w:t>
      </w:r>
      <w:r w:rsidRPr="007E295F">
        <w:rPr>
          <w:color w:val="000000" w:themeColor="text1"/>
        </w:rPr>
        <w:t xml:space="preserve"> d’interroger les dimensions politiques d’une certaine conception et mise en œuvre de la recherche scientifique</w:t>
      </w:r>
      <w:r w:rsidR="00C70182" w:rsidRPr="007E295F">
        <w:rPr>
          <w:color w:val="000000" w:themeColor="text1"/>
        </w:rPr>
        <w:t>. Cette perspective</w:t>
      </w:r>
      <w:r w:rsidRPr="007E295F">
        <w:rPr>
          <w:color w:val="000000" w:themeColor="text1"/>
        </w:rPr>
        <w:t xml:space="preserve"> demande tout d’abord </w:t>
      </w:r>
      <w:r w:rsidR="00CA3FAE" w:rsidRPr="007E295F">
        <w:rPr>
          <w:color w:val="000000" w:themeColor="text1"/>
        </w:rPr>
        <w:t>de</w:t>
      </w:r>
      <w:r w:rsidRPr="007E295F">
        <w:rPr>
          <w:color w:val="000000" w:themeColor="text1"/>
        </w:rPr>
        <w:t xml:space="preserve"> situer cette dernière dans son contexte socio-politique</w:t>
      </w:r>
      <w:r w:rsidR="004C3CA3" w:rsidRPr="007E295F">
        <w:rPr>
          <w:color w:val="000000" w:themeColor="text1"/>
        </w:rPr>
        <w:t>,</w:t>
      </w:r>
      <w:r w:rsidRPr="007E295F">
        <w:rPr>
          <w:color w:val="000000" w:themeColor="text1"/>
        </w:rPr>
        <w:t xml:space="preserve"> replacé dans sa profondeur historique. </w:t>
      </w:r>
      <w:r w:rsidR="00851079" w:rsidRPr="007E295F">
        <w:rPr>
          <w:color w:val="000000" w:themeColor="text1"/>
        </w:rPr>
        <w:t>Au</w:t>
      </w:r>
      <w:r w:rsidRPr="007E295F">
        <w:rPr>
          <w:color w:val="000000" w:themeColor="text1"/>
        </w:rPr>
        <w:t xml:space="preserve"> regard de ce contexte,</w:t>
      </w:r>
      <w:r w:rsidR="005077F2" w:rsidRPr="007E295F">
        <w:rPr>
          <w:color w:val="000000" w:themeColor="text1"/>
        </w:rPr>
        <w:t xml:space="preserve"> </w:t>
      </w:r>
      <w:r w:rsidR="00851079" w:rsidRPr="007E295F">
        <w:rPr>
          <w:color w:val="000000" w:themeColor="text1"/>
        </w:rPr>
        <w:t>le</w:t>
      </w:r>
      <w:r w:rsidR="005077F2" w:rsidRPr="007E295F">
        <w:rPr>
          <w:color w:val="000000" w:themeColor="text1"/>
        </w:rPr>
        <w:t xml:space="preserve"> collectif de recherche</w:t>
      </w:r>
      <w:r w:rsidR="00851079" w:rsidRPr="007E295F">
        <w:rPr>
          <w:color w:val="000000" w:themeColor="text1"/>
        </w:rPr>
        <w:t xml:space="preserve"> Picote</w:t>
      </w:r>
      <w:r w:rsidR="005077F2" w:rsidRPr="007E295F">
        <w:rPr>
          <w:color w:val="000000" w:themeColor="text1"/>
        </w:rPr>
        <w:t xml:space="preserve"> </w:t>
      </w:r>
      <w:r w:rsidR="00CA3FAE" w:rsidRPr="007E295F">
        <w:rPr>
          <w:color w:val="000000" w:themeColor="text1"/>
        </w:rPr>
        <w:t xml:space="preserve">inscrit </w:t>
      </w:r>
      <w:r w:rsidR="00851079" w:rsidRPr="007E295F">
        <w:rPr>
          <w:color w:val="000000" w:themeColor="text1"/>
        </w:rPr>
        <w:t xml:space="preserve">son action </w:t>
      </w:r>
      <w:r w:rsidR="005077F2" w:rsidRPr="007E295F">
        <w:rPr>
          <w:color w:val="000000" w:themeColor="text1"/>
        </w:rPr>
        <w:t>dans une conception élargie de l’associationnisme</w:t>
      </w:r>
      <w:r w:rsidR="00C70182" w:rsidRPr="007E295F">
        <w:rPr>
          <w:color w:val="000000" w:themeColor="text1"/>
        </w:rPr>
        <w:t xml:space="preserve"> (Laville, 2010)</w:t>
      </w:r>
      <w:r w:rsidR="005077F2" w:rsidRPr="007E295F">
        <w:rPr>
          <w:color w:val="000000" w:themeColor="text1"/>
        </w:rPr>
        <w:t xml:space="preserve">. </w:t>
      </w:r>
      <w:r w:rsidRPr="007E295F">
        <w:rPr>
          <w:color w:val="000000" w:themeColor="text1"/>
        </w:rPr>
        <w:t xml:space="preserve">Sans pouvoir </w:t>
      </w:r>
      <w:r w:rsidR="005077F2" w:rsidRPr="007E295F">
        <w:rPr>
          <w:color w:val="000000" w:themeColor="text1"/>
        </w:rPr>
        <w:t>être exhaustif, plusieurs éléments contextuels contemporains impliquant le champ et le point de vue scientifiques doivent selon nous être soulignés</w:t>
      </w:r>
      <w:r w:rsidR="0068001C" w:rsidRPr="007E295F">
        <w:rPr>
          <w:color w:val="000000" w:themeColor="text1"/>
        </w:rPr>
        <w:t>, sans que nous puissions ici discuter des liens qui se tissent très probablement entre eux</w:t>
      </w:r>
      <w:r w:rsidR="005077F2" w:rsidRPr="007E295F">
        <w:rPr>
          <w:color w:val="000000" w:themeColor="text1"/>
        </w:rPr>
        <w:t xml:space="preserve">. </w:t>
      </w:r>
      <w:r w:rsidR="00851079" w:rsidRPr="007E295F">
        <w:rPr>
          <w:color w:val="000000" w:themeColor="text1"/>
        </w:rPr>
        <w:t>Ces éléments</w:t>
      </w:r>
      <w:r w:rsidR="005077F2" w:rsidRPr="007E295F">
        <w:rPr>
          <w:color w:val="000000" w:themeColor="text1"/>
        </w:rPr>
        <w:t xml:space="preserve"> esquissent une configuration sociale singulière à partir de laquelle</w:t>
      </w:r>
      <w:r w:rsidR="00C70182" w:rsidRPr="007E295F">
        <w:rPr>
          <w:color w:val="000000" w:themeColor="text1"/>
        </w:rPr>
        <w:t xml:space="preserve"> </w:t>
      </w:r>
      <w:r w:rsidR="005077F2" w:rsidRPr="007E295F">
        <w:rPr>
          <w:color w:val="000000" w:themeColor="text1"/>
        </w:rPr>
        <w:t>la recherche Territoire d’insertion et d’inclusion (</w:t>
      </w:r>
      <w:r w:rsidR="00200B3E" w:rsidRPr="007E295F">
        <w:rPr>
          <w:color w:val="000000" w:themeColor="text1"/>
        </w:rPr>
        <w:t>T2I</w:t>
      </w:r>
      <w:r w:rsidR="005077F2" w:rsidRPr="007E295F">
        <w:rPr>
          <w:color w:val="000000" w:themeColor="text1"/>
        </w:rPr>
        <w:t>)</w:t>
      </w:r>
      <w:r w:rsidR="00C70182" w:rsidRPr="007E295F">
        <w:rPr>
          <w:color w:val="000000" w:themeColor="text1"/>
        </w:rPr>
        <w:t>,</w:t>
      </w:r>
      <w:r w:rsidR="005077F2" w:rsidRPr="007E295F">
        <w:rPr>
          <w:color w:val="000000" w:themeColor="text1"/>
        </w:rPr>
        <w:t xml:space="preserve"> qui sert ici de matériau empirique à notre réflexion</w:t>
      </w:r>
      <w:r w:rsidR="00C70182" w:rsidRPr="007E295F">
        <w:rPr>
          <w:color w:val="000000" w:themeColor="text1"/>
        </w:rPr>
        <w:t>, est problématisée</w:t>
      </w:r>
      <w:r w:rsidR="005077F2" w:rsidRPr="007E295F">
        <w:rPr>
          <w:color w:val="000000" w:themeColor="text1"/>
        </w:rPr>
        <w:t>.</w:t>
      </w:r>
    </w:p>
    <w:p w14:paraId="0D436978" w14:textId="77777777" w:rsidR="007E295F" w:rsidRPr="007E295F" w:rsidRDefault="007E295F" w:rsidP="00E24E73">
      <w:pPr>
        <w:jc w:val="both"/>
        <w:rPr>
          <w:color w:val="000000" w:themeColor="text1"/>
        </w:rPr>
      </w:pPr>
    </w:p>
    <w:p w14:paraId="48E8A8D4" w14:textId="6E31DB43" w:rsidR="0068001C" w:rsidRDefault="0068001C" w:rsidP="00E24E73">
      <w:pPr>
        <w:jc w:val="both"/>
        <w:rPr>
          <w:color w:val="000000" w:themeColor="text1"/>
        </w:rPr>
      </w:pPr>
      <w:r w:rsidRPr="007E295F">
        <w:rPr>
          <w:color w:val="000000" w:themeColor="text1"/>
        </w:rPr>
        <w:t xml:space="preserve">La recherche scientifique se trouve de fait interpellée aujourd’hui par un rapport social et institutionnel au discours scientifique pour le moins complexe. Si précédemment, dans le cadre d’une conception associant progrès social et scientifique, le discours scientifique semblait pouvoir faire force de loi, celui-ci est aujourd’hui relativisé au regard d’autres points de vue sur le monde et de la vérité ou des vérités qu’il est possible d’énoncer. La crise sanitaire qui perdure encore aujourd’hui </w:t>
      </w:r>
      <w:r w:rsidR="00586E5E" w:rsidRPr="007E295F">
        <w:rPr>
          <w:color w:val="000000" w:themeColor="text1"/>
        </w:rPr>
        <w:t xml:space="preserve">ou les tensions liées à la question du changement climatique </w:t>
      </w:r>
      <w:r w:rsidRPr="007E295F">
        <w:rPr>
          <w:color w:val="000000" w:themeColor="text1"/>
        </w:rPr>
        <w:t>ne manque</w:t>
      </w:r>
      <w:r w:rsidR="00586E5E" w:rsidRPr="007E295F">
        <w:rPr>
          <w:color w:val="000000" w:themeColor="text1"/>
        </w:rPr>
        <w:t>nt</w:t>
      </w:r>
      <w:r w:rsidRPr="007E295F">
        <w:rPr>
          <w:color w:val="000000" w:themeColor="text1"/>
        </w:rPr>
        <w:t xml:space="preserve"> pas d’illustrer ce point. </w:t>
      </w:r>
      <w:r w:rsidR="00C70182" w:rsidRPr="007E295F">
        <w:rPr>
          <w:color w:val="000000" w:themeColor="text1"/>
        </w:rPr>
        <w:t>En effet, l</w:t>
      </w:r>
      <w:r w:rsidRPr="007E295F">
        <w:rPr>
          <w:color w:val="000000" w:themeColor="text1"/>
        </w:rPr>
        <w:t>e discours scientifique est clairement aujourd’hui associé à un point de vue spécifique sur le monde</w:t>
      </w:r>
      <w:r w:rsidR="00F81F64" w:rsidRPr="007E295F">
        <w:rPr>
          <w:rStyle w:val="Appelnotedebasdep"/>
          <w:color w:val="000000" w:themeColor="text1"/>
        </w:rPr>
        <w:footnoteReference w:id="2"/>
      </w:r>
      <w:r w:rsidR="00F81F64" w:rsidRPr="007E295F">
        <w:rPr>
          <w:color w:val="000000" w:themeColor="text1"/>
        </w:rPr>
        <w:t xml:space="preserve"> </w:t>
      </w:r>
      <w:r w:rsidRPr="007E295F">
        <w:rPr>
          <w:color w:val="000000" w:themeColor="text1"/>
        </w:rPr>
        <w:t xml:space="preserve">et suscite tout à la fois une considération attentive, </w:t>
      </w:r>
      <w:r w:rsidR="00BC249E" w:rsidRPr="007E295F">
        <w:rPr>
          <w:color w:val="000000" w:themeColor="text1"/>
        </w:rPr>
        <w:t>de la</w:t>
      </w:r>
      <w:r w:rsidRPr="007E295F">
        <w:rPr>
          <w:color w:val="000000" w:themeColor="text1"/>
        </w:rPr>
        <w:t xml:space="preserve"> défiance, des critiques</w:t>
      </w:r>
      <w:r w:rsidR="00BC249E" w:rsidRPr="007E295F">
        <w:rPr>
          <w:color w:val="000000" w:themeColor="text1"/>
        </w:rPr>
        <w:t>, de l’incompréhension, voire des remises en question</w:t>
      </w:r>
      <w:r w:rsidR="007115C1" w:rsidRPr="007E295F">
        <w:rPr>
          <w:color w:val="000000" w:themeColor="text1"/>
        </w:rPr>
        <w:t xml:space="preserve">. </w:t>
      </w:r>
    </w:p>
    <w:p w14:paraId="09B57BCD" w14:textId="77777777" w:rsidR="007E295F" w:rsidRPr="007E295F" w:rsidRDefault="007E295F" w:rsidP="00E24E73">
      <w:pPr>
        <w:jc w:val="both"/>
        <w:rPr>
          <w:color w:val="000000" w:themeColor="text1"/>
        </w:rPr>
      </w:pPr>
    </w:p>
    <w:p w14:paraId="0B433A50" w14:textId="125B0EAA" w:rsidR="00A74567" w:rsidRDefault="00CA3FAE" w:rsidP="00E24E73">
      <w:pPr>
        <w:jc w:val="both"/>
        <w:rPr>
          <w:color w:val="000000" w:themeColor="text1"/>
        </w:rPr>
      </w:pPr>
      <w:r w:rsidRPr="007E295F">
        <w:rPr>
          <w:color w:val="000000" w:themeColor="text1"/>
        </w:rPr>
        <w:t>Selon une vision utilitariste de la recherche</w:t>
      </w:r>
      <w:r w:rsidR="00B95441" w:rsidRPr="007E295F">
        <w:rPr>
          <w:color w:val="000000" w:themeColor="text1"/>
        </w:rPr>
        <w:t xml:space="preserve">, le scientifique est aujourd’hui </w:t>
      </w:r>
      <w:r w:rsidRPr="007E295F">
        <w:rPr>
          <w:color w:val="000000" w:themeColor="text1"/>
        </w:rPr>
        <w:t>pleinement invité à participer aux enjeux</w:t>
      </w:r>
      <w:r w:rsidR="00B95441" w:rsidRPr="007E295F">
        <w:rPr>
          <w:color w:val="000000" w:themeColor="text1"/>
        </w:rPr>
        <w:t xml:space="preserve"> socio-économique</w:t>
      </w:r>
      <w:r w:rsidRPr="007E295F">
        <w:rPr>
          <w:color w:val="000000" w:themeColor="text1"/>
        </w:rPr>
        <w:t xml:space="preserve">s, à relever les défis d’une organisation concurrentielle de l’activité scientifique et </w:t>
      </w:r>
      <w:r w:rsidR="00B95441" w:rsidRPr="007E295F">
        <w:rPr>
          <w:color w:val="000000" w:themeColor="text1"/>
        </w:rPr>
        <w:t xml:space="preserve">où la recherche figure une opportunité et un capital pour produire de la richesse et s’inscrire pleinement dans le contexte d’une économie marchande. L’organisation sociale de la recherche s’inscrit dans le fil historique d’une coupure </w:t>
      </w:r>
      <w:r w:rsidR="00A74567" w:rsidRPr="007E295F">
        <w:rPr>
          <w:color w:val="000000" w:themeColor="text1"/>
        </w:rPr>
        <w:t xml:space="preserve">opérée à </w:t>
      </w:r>
      <w:r w:rsidR="00A74567" w:rsidRPr="007E295F">
        <w:rPr>
          <w:color w:val="000000" w:themeColor="text1"/>
        </w:rPr>
        <w:lastRenderedPageBreak/>
        <w:t>partir du XVIIIème siècle et la construction de l’autorité scientifique (</w:t>
      </w:r>
      <w:proofErr w:type="spellStart"/>
      <w:r w:rsidR="00A74567" w:rsidRPr="007E295F">
        <w:rPr>
          <w:color w:val="000000" w:themeColor="text1"/>
        </w:rPr>
        <w:t>Bensaude</w:t>
      </w:r>
      <w:proofErr w:type="spellEnd"/>
      <w:r w:rsidR="00A74567" w:rsidRPr="007E295F">
        <w:rPr>
          <w:color w:val="000000" w:themeColor="text1"/>
        </w:rPr>
        <w:t xml:space="preserve">-Vincent, 2013) </w:t>
      </w:r>
      <w:r w:rsidR="00B95441" w:rsidRPr="007E295F">
        <w:rPr>
          <w:color w:val="000000" w:themeColor="text1"/>
        </w:rPr>
        <w:t>entre champ scientifique spécialisé à fort coût d’entrée e</w:t>
      </w:r>
      <w:r w:rsidR="00A74567" w:rsidRPr="007E295F">
        <w:rPr>
          <w:color w:val="000000" w:themeColor="text1"/>
        </w:rPr>
        <w:t>t champ social ordinaire ramené</w:t>
      </w:r>
      <w:r w:rsidR="00B95441" w:rsidRPr="007E295F">
        <w:rPr>
          <w:color w:val="000000" w:themeColor="text1"/>
        </w:rPr>
        <w:t xml:space="preserve"> au registre de l’</w:t>
      </w:r>
      <w:r w:rsidR="00A74567" w:rsidRPr="007E295F">
        <w:rPr>
          <w:color w:val="000000" w:themeColor="text1"/>
        </w:rPr>
        <w:t>opinion. Même si les mots d’ordre sont aujourd’hui à la participation des publics, à l’engagement d’une « science ouverte », la qualité de cette participation et de cette ouverture reste problématique, s’inscrivant invariablement dans des jeux de pouvoir et d’intérêts différenciés. Les espaces de production des savoirs et de leur appropriation sont aujourd’hui plus ouverts, l</w:t>
      </w:r>
      <w:r w:rsidR="00323D03" w:rsidRPr="007E295F">
        <w:rPr>
          <w:color w:val="000000" w:themeColor="text1"/>
        </w:rPr>
        <w:t>’</w:t>
      </w:r>
      <w:r w:rsidR="00A74567" w:rsidRPr="007E295F">
        <w:rPr>
          <w:color w:val="000000" w:themeColor="text1"/>
        </w:rPr>
        <w:t xml:space="preserve">architecture </w:t>
      </w:r>
      <w:r w:rsidR="00323D03" w:rsidRPr="007E295F">
        <w:rPr>
          <w:color w:val="000000" w:themeColor="text1"/>
        </w:rPr>
        <w:t>numérique jouant sur ce point un rôle majeur. C’est ainsi une facilitation inédite dans la circulation de l’information, des savoirs mais aussi de la désinformation, des contre-vérités ou de savoirs approximatifs qui est à l’œuvre et bouleverse la construction sociale d’une communauté de savoir</w:t>
      </w:r>
      <w:r w:rsidR="00171293" w:rsidRPr="007E295F">
        <w:rPr>
          <w:rStyle w:val="Appelnotedebasdep"/>
          <w:color w:val="000000" w:themeColor="text1"/>
        </w:rPr>
        <w:footnoteReference w:id="3"/>
      </w:r>
      <w:r w:rsidR="00323D03" w:rsidRPr="007E295F">
        <w:rPr>
          <w:color w:val="000000" w:themeColor="text1"/>
        </w:rPr>
        <w:t xml:space="preserve">. </w:t>
      </w:r>
    </w:p>
    <w:p w14:paraId="4A4E4329" w14:textId="77777777" w:rsidR="007E295F" w:rsidRPr="007E295F" w:rsidRDefault="007E295F" w:rsidP="00E24E73">
      <w:pPr>
        <w:jc w:val="both"/>
        <w:rPr>
          <w:color w:val="000000" w:themeColor="text1"/>
        </w:rPr>
      </w:pPr>
    </w:p>
    <w:p w14:paraId="5FF8D597" w14:textId="37734699" w:rsidR="00323D03" w:rsidRPr="007E295F" w:rsidRDefault="00CA3FAE" w:rsidP="00E24E73">
      <w:pPr>
        <w:jc w:val="both"/>
        <w:rPr>
          <w:color w:val="000000" w:themeColor="text1"/>
        </w:rPr>
      </w:pPr>
      <w:r w:rsidRPr="007E295F">
        <w:rPr>
          <w:color w:val="000000" w:themeColor="text1"/>
        </w:rPr>
        <w:t>Sans pouvoir dépasser les</w:t>
      </w:r>
      <w:r w:rsidR="00171895" w:rsidRPr="007E295F">
        <w:rPr>
          <w:color w:val="000000" w:themeColor="text1"/>
        </w:rPr>
        <w:t xml:space="preserve"> découpages disciplinaires</w:t>
      </w:r>
      <w:r w:rsidRPr="007E295F">
        <w:rPr>
          <w:color w:val="000000" w:themeColor="text1"/>
        </w:rPr>
        <w:t xml:space="preserve"> qui restent structurants</w:t>
      </w:r>
      <w:r w:rsidR="00171895" w:rsidRPr="007E295F">
        <w:rPr>
          <w:color w:val="000000" w:themeColor="text1"/>
        </w:rPr>
        <w:t xml:space="preserve">, les incitations à produire des recherches innovantes reposant sur leur caractère pluri, inter, ou trans disciplinaire sont aujourd’hui courante, posant la question délicate du dialogue effectif et productif entre les disciplines dépassant les simples juxtapositions ou alternances de points de vue. </w:t>
      </w:r>
      <w:r w:rsidR="00323D03" w:rsidRPr="007E295F">
        <w:rPr>
          <w:color w:val="000000" w:themeColor="text1"/>
        </w:rPr>
        <w:t>Faire de la recherche aujourd’hui</w:t>
      </w:r>
      <w:r w:rsidR="009A6A4C" w:rsidRPr="007E295F">
        <w:rPr>
          <w:color w:val="000000" w:themeColor="text1"/>
        </w:rPr>
        <w:t>,</w:t>
      </w:r>
      <w:r w:rsidR="00323D03" w:rsidRPr="007E295F">
        <w:rPr>
          <w:color w:val="000000" w:themeColor="text1"/>
        </w:rPr>
        <w:t xml:space="preserve"> c’est aussi participer à un effort considérable de démocratisation des savoirs, par la formation d’un public de plus en plus élargi à l’université. Adopter un point de vue critique perçu comme légitime sur les discours de vérité est là aussi facilité, encouragé interrogeant dès lors la qualité de la construction de ce point de vue et de son accompagnement tout au long de la vie. Or, la remise en cause de formations systématiques et complètes au profit de formations </w:t>
      </w:r>
      <w:r w:rsidR="00FD7E70" w:rsidRPr="007E295F">
        <w:rPr>
          <w:color w:val="000000" w:themeColor="text1"/>
        </w:rPr>
        <w:t>plus disséminées et hétérogènes</w:t>
      </w:r>
      <w:r w:rsidR="0075293C" w:rsidRPr="007E295F">
        <w:rPr>
          <w:color w:val="000000" w:themeColor="text1"/>
        </w:rPr>
        <w:t>,</w:t>
      </w:r>
      <w:r w:rsidR="00FD7E70" w:rsidRPr="007E295F">
        <w:rPr>
          <w:color w:val="000000" w:themeColor="text1"/>
        </w:rPr>
        <w:t xml:space="preserve"> ainsi que</w:t>
      </w:r>
      <w:r w:rsidR="00323D03" w:rsidRPr="007E295F">
        <w:rPr>
          <w:color w:val="000000" w:themeColor="text1"/>
        </w:rPr>
        <w:t xml:space="preserve"> le déclin de l’éducation populaire </w:t>
      </w:r>
      <w:r w:rsidR="00FD7E70" w:rsidRPr="007E295F">
        <w:rPr>
          <w:color w:val="000000" w:themeColor="text1"/>
        </w:rPr>
        <w:t>présentant une alternative aux enjeux de la professionnalisation, de l’insertion professionnelle et de l’intérêt principalement économique de la formation</w:t>
      </w:r>
      <w:r w:rsidR="0090582C" w:rsidRPr="007E295F">
        <w:rPr>
          <w:color w:val="000000" w:themeColor="text1"/>
        </w:rPr>
        <w:t xml:space="preserve"> (cf. Dupuy, Sarfati, 2022),</w:t>
      </w:r>
      <w:r w:rsidR="00FD7E70" w:rsidRPr="007E295F">
        <w:rPr>
          <w:color w:val="000000" w:themeColor="text1"/>
        </w:rPr>
        <w:t xml:space="preserve"> </w:t>
      </w:r>
      <w:r w:rsidR="00323D03" w:rsidRPr="007E295F">
        <w:rPr>
          <w:color w:val="000000" w:themeColor="text1"/>
        </w:rPr>
        <w:t>questionne</w:t>
      </w:r>
      <w:r w:rsidR="00C3089A" w:rsidRPr="007E295F">
        <w:rPr>
          <w:color w:val="000000" w:themeColor="text1"/>
        </w:rPr>
        <w:t>nt</w:t>
      </w:r>
      <w:r w:rsidR="009A6A4C" w:rsidRPr="007E295F">
        <w:rPr>
          <w:color w:val="000000" w:themeColor="text1"/>
        </w:rPr>
        <w:t xml:space="preserve"> fortement</w:t>
      </w:r>
      <w:r w:rsidR="00323D03" w:rsidRPr="007E295F">
        <w:rPr>
          <w:color w:val="000000" w:themeColor="text1"/>
        </w:rPr>
        <w:t xml:space="preserve"> sur ce point</w:t>
      </w:r>
      <w:r w:rsidR="007E295F">
        <w:rPr>
          <w:color w:val="000000" w:themeColor="text1"/>
        </w:rPr>
        <w:t>.</w:t>
      </w:r>
      <w:r w:rsidR="0090582C" w:rsidRPr="007E295F">
        <w:rPr>
          <w:color w:val="000000" w:themeColor="text1"/>
        </w:rPr>
        <w:t xml:space="preserve"> </w:t>
      </w:r>
    </w:p>
    <w:p w14:paraId="65A96AB7" w14:textId="77777777" w:rsidR="00864CE4" w:rsidRDefault="00864CE4" w:rsidP="00E24E73">
      <w:pPr>
        <w:jc w:val="both"/>
        <w:rPr>
          <w:color w:val="000000" w:themeColor="text1"/>
        </w:rPr>
      </w:pPr>
    </w:p>
    <w:p w14:paraId="6826FE9C" w14:textId="1088A833" w:rsidR="00323D03" w:rsidRPr="007E295F" w:rsidRDefault="00586E5E" w:rsidP="00E24E73">
      <w:pPr>
        <w:jc w:val="both"/>
        <w:rPr>
          <w:color w:val="000000" w:themeColor="text1"/>
        </w:rPr>
      </w:pPr>
      <w:r w:rsidRPr="007E295F">
        <w:rPr>
          <w:color w:val="000000" w:themeColor="text1"/>
        </w:rPr>
        <w:t xml:space="preserve">Sur l’ensemble de ces éléments contextuels, c’est bien la question de la communauté légitime pour produire, débattre, questionner, soutenir un discours ayant prétention à dire le vrai qui est socialement en jeu avec une intensité inédite. Si le social est le terreau du développement de la pensée, c’est en tout cas ce qu’il ressort des travaux de </w:t>
      </w:r>
      <w:r w:rsidR="00505695" w:rsidRPr="007E295F">
        <w:rPr>
          <w:color w:val="000000" w:themeColor="text1"/>
        </w:rPr>
        <w:t xml:space="preserve">Piaget ou </w:t>
      </w:r>
      <w:r w:rsidRPr="007E295F">
        <w:rPr>
          <w:color w:val="000000" w:themeColor="text1"/>
        </w:rPr>
        <w:t>Vygotski, des approches socio-constructiviste</w:t>
      </w:r>
      <w:r w:rsidR="00C3089A" w:rsidRPr="007E295F">
        <w:rPr>
          <w:color w:val="000000" w:themeColor="text1"/>
        </w:rPr>
        <w:t>s</w:t>
      </w:r>
      <w:r w:rsidRPr="007E295F">
        <w:rPr>
          <w:color w:val="000000" w:themeColor="text1"/>
        </w:rPr>
        <w:t xml:space="preserve"> </w:t>
      </w:r>
      <w:r w:rsidR="00505695" w:rsidRPr="007E295F">
        <w:rPr>
          <w:color w:val="000000" w:themeColor="text1"/>
        </w:rPr>
        <w:t>qui en découlent mais aussi</w:t>
      </w:r>
      <w:r w:rsidRPr="007E295F">
        <w:rPr>
          <w:color w:val="000000" w:themeColor="text1"/>
        </w:rPr>
        <w:t xml:space="preserve"> d</w:t>
      </w:r>
      <w:r w:rsidR="00505695" w:rsidRPr="007E295F">
        <w:rPr>
          <w:color w:val="000000" w:themeColor="text1"/>
        </w:rPr>
        <w:t xml:space="preserve">’une conception dialogique du champ scientifique, l’enjeu s’avère ainsi considérable pour toute recherche scientifique de définir avec soin l’organisation et la mise en œuvre de cette communauté. Les enjeux sociétaux et politiques croisent ainsi des enjeux épistémologiques, ce qui oblige à penser formellement toute organisation sociale du travail de recherche, cette organisation ayant des incidences non seulement sur la place accordée à chacun dans la « cité scientifique » mais aussi sur la qualité de production des savoirs, dépendante de la qualité du « terreau » cultivé. </w:t>
      </w:r>
    </w:p>
    <w:p w14:paraId="3B029112" w14:textId="08BF18E6" w:rsidR="004C628A" w:rsidRPr="007E295F" w:rsidRDefault="004C628A" w:rsidP="00E24E73">
      <w:pPr>
        <w:jc w:val="both"/>
        <w:rPr>
          <w:color w:val="000000" w:themeColor="text1"/>
        </w:rPr>
      </w:pPr>
      <w:r w:rsidRPr="007E295F">
        <w:rPr>
          <w:color w:val="000000" w:themeColor="text1"/>
        </w:rPr>
        <w:t>Bien évidemment, les frontières et la structuration d’une telle communauté sont loin d’être évidentes, répondant d’impératifs et de contraintes multiples. C’est ce que nous proposons d’explorer par la suite à partir de</w:t>
      </w:r>
      <w:r w:rsidR="00623772" w:rsidRPr="007E295F">
        <w:rPr>
          <w:color w:val="000000" w:themeColor="text1"/>
        </w:rPr>
        <w:t xml:space="preserve"> l’</w:t>
      </w:r>
      <w:r w:rsidRPr="007E295F">
        <w:rPr>
          <w:color w:val="000000" w:themeColor="text1"/>
        </w:rPr>
        <w:t xml:space="preserve">expérience de la recherche </w:t>
      </w:r>
      <w:r w:rsidR="00200B3E" w:rsidRPr="007E295F">
        <w:rPr>
          <w:color w:val="000000" w:themeColor="text1"/>
        </w:rPr>
        <w:t>T2I</w:t>
      </w:r>
      <w:r w:rsidRPr="007E295F">
        <w:rPr>
          <w:color w:val="000000" w:themeColor="text1"/>
        </w:rPr>
        <w:t xml:space="preserve">. </w:t>
      </w:r>
    </w:p>
    <w:p w14:paraId="402539C4" w14:textId="7E58B9FE" w:rsidR="00623772" w:rsidRPr="007E295F" w:rsidRDefault="00623772" w:rsidP="00E24E73">
      <w:pPr>
        <w:jc w:val="both"/>
        <w:rPr>
          <w:color w:val="000000" w:themeColor="text1"/>
        </w:rPr>
      </w:pPr>
    </w:p>
    <w:p w14:paraId="72C5D105" w14:textId="29F0B09E" w:rsidR="00623772" w:rsidRPr="007E295F" w:rsidRDefault="00864CE4" w:rsidP="00864CE4">
      <w:pPr>
        <w:spacing w:after="160" w:line="259" w:lineRule="auto"/>
        <w:rPr>
          <w:color w:val="000000" w:themeColor="text1"/>
        </w:rPr>
      </w:pPr>
      <w:r>
        <w:rPr>
          <w:color w:val="000000" w:themeColor="text1"/>
        </w:rPr>
        <w:br w:type="page"/>
      </w:r>
    </w:p>
    <w:p w14:paraId="0BFEEC57" w14:textId="77777777" w:rsidR="00623772" w:rsidRPr="007E295F" w:rsidRDefault="00623772" w:rsidP="00623772">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lastRenderedPageBreak/>
        <w:t>Encadré : le collectif Picote</w:t>
      </w:r>
    </w:p>
    <w:p w14:paraId="4DBD88AA" w14:textId="262AEF8C" w:rsidR="00623772" w:rsidRPr="007E295F" w:rsidRDefault="00623772" w:rsidP="00623772">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 xml:space="preserve">Le collectif de recherche engagé dans cette recherche-action s’appelle le collectif PICOTE (Projets Interdisciplinaires </w:t>
      </w:r>
      <w:proofErr w:type="spellStart"/>
      <w:r w:rsidRPr="007E295F">
        <w:rPr>
          <w:color w:val="000000" w:themeColor="text1"/>
        </w:rPr>
        <w:t>COopératifs</w:t>
      </w:r>
      <w:proofErr w:type="spellEnd"/>
      <w:r w:rsidRPr="007E295F">
        <w:rPr>
          <w:color w:val="000000" w:themeColor="text1"/>
        </w:rPr>
        <w:t xml:space="preserve"> </w:t>
      </w:r>
      <w:proofErr w:type="spellStart"/>
      <w:r w:rsidRPr="007E295F">
        <w:rPr>
          <w:color w:val="000000" w:themeColor="text1"/>
        </w:rPr>
        <w:t>TErritoriaux</w:t>
      </w:r>
      <w:proofErr w:type="spellEnd"/>
      <w:r w:rsidRPr="007E295F">
        <w:rPr>
          <w:color w:val="000000" w:themeColor="text1"/>
        </w:rPr>
        <w:t xml:space="preserve">). Il est composé de sept enseignants-chercheurs de disciplines différentes (sciences de gestion et du management, sociologie, sciences de l’éducation et de la formation) issus de trois laboratoires du même établissement d’enseignement supérieur et d’un professionnel de l’insertion. Ce collectif est issu de diverses rencontres professionnelles liées au monde académique et s’est tissé autour de la recherche-action </w:t>
      </w:r>
      <w:r w:rsidR="00200B3E" w:rsidRPr="007E295F">
        <w:rPr>
          <w:color w:val="000000" w:themeColor="text1"/>
        </w:rPr>
        <w:t>T2I</w:t>
      </w:r>
      <w:r w:rsidRPr="007E295F">
        <w:rPr>
          <w:color w:val="000000" w:themeColor="text1"/>
        </w:rPr>
        <w:t xml:space="preserve"> qui a fait figure de catalyseur. Impulsé au départ par des enseignantes-chercheuses en sciences de gestion et du management, il a réuni autour de ce même projet des enseignants-chercheurs d’autres disciplines. Attachées aux projets innovants collaboratifs territoriaux, les chercheuses en sciences de gestion et du management ont contacté différents collègues (dont certains avaient également été contactés par le CD) afin de construire un projet commun autour des questions d’insertion et d’inclusion. Le prétexte du partenariat avec le CD a permis, au-delà du projet même, une émulation particulière permettant l’interconnaissance de chaque enseignant-chercheur. Au-delà de chacune des disciplines et des expertises mobilisées, ce sont des affinités électives, ainsi que le partage d’un objectif commun et l’attachement à l’ancrage de la recherche dans et avec les terrains enquêtés qui est à la source de la force des liens produisant ce collectif. Menant au pas de course une recherche-action dont les ambitions initiales nécessitaient davantage de temps, l’interdisciplinarité nécessaire à l’objet étudié et les visées démocratiques de la recherche se sont construites chemin faisant. Le dialogue entre disciplines, les associations avec les multiples acteurs alimentèrent progressivement des débats de fonds relevant non plus seulement des concepts, des méthodes et des outils pertinents à mobiliser au service de la recherche-action mais bien plus de la recherche comme action pouvant répondre conjointement à une ambition épistémologique et politique. </w:t>
      </w:r>
    </w:p>
    <w:p w14:paraId="6C8436AE" w14:textId="77777777" w:rsidR="004C628A" w:rsidRPr="007E295F" w:rsidRDefault="004C628A" w:rsidP="00E24E73">
      <w:pPr>
        <w:jc w:val="both"/>
        <w:rPr>
          <w:color w:val="000000" w:themeColor="text1"/>
        </w:rPr>
      </w:pPr>
    </w:p>
    <w:p w14:paraId="27329491" w14:textId="77777777" w:rsidR="004C628A" w:rsidRPr="007E295F" w:rsidRDefault="004C628A" w:rsidP="00E24E73">
      <w:pPr>
        <w:pStyle w:val="Paragraphedeliste"/>
        <w:numPr>
          <w:ilvl w:val="0"/>
          <w:numId w:val="1"/>
        </w:numPr>
        <w:jc w:val="both"/>
        <w:rPr>
          <w:color w:val="000000" w:themeColor="text1"/>
        </w:rPr>
      </w:pPr>
      <w:r w:rsidRPr="007E295F">
        <w:rPr>
          <w:color w:val="000000" w:themeColor="text1"/>
        </w:rPr>
        <w:t>Situer la pratique de recherche dans le cadre de l’associationnisme</w:t>
      </w:r>
    </w:p>
    <w:p w14:paraId="5A7A531E" w14:textId="77777777" w:rsidR="004C628A" w:rsidRPr="007E295F" w:rsidRDefault="004C628A" w:rsidP="00E24E73">
      <w:pPr>
        <w:jc w:val="both"/>
        <w:rPr>
          <w:color w:val="000000" w:themeColor="text1"/>
        </w:rPr>
      </w:pPr>
    </w:p>
    <w:p w14:paraId="21D39AF0" w14:textId="11B4645C" w:rsidR="00047437" w:rsidRDefault="00EC1943" w:rsidP="00E24E73">
      <w:pPr>
        <w:jc w:val="both"/>
        <w:rPr>
          <w:color w:val="000000" w:themeColor="text1"/>
        </w:rPr>
      </w:pPr>
      <w:r w:rsidRPr="007E295F">
        <w:rPr>
          <w:color w:val="000000" w:themeColor="text1"/>
        </w:rPr>
        <w:t>Concevoir la recherche comme la construction d’associations</w:t>
      </w:r>
      <w:r w:rsidR="00C3089A" w:rsidRPr="007E295F">
        <w:rPr>
          <w:rStyle w:val="Appelnotedebasdep"/>
          <w:color w:val="000000" w:themeColor="text1"/>
        </w:rPr>
        <w:footnoteReference w:id="4"/>
      </w:r>
      <w:r w:rsidRPr="007E295F">
        <w:rPr>
          <w:color w:val="000000" w:themeColor="text1"/>
        </w:rPr>
        <w:t xml:space="preserve"> entre différents acteurs et interroger la place différenciée de ces derniers dans l’activité de recherche et de production de savoirs s’avère une tâche particulièrement vive lorsque la recherche implique des personnes en situation de vulnérabilité</w:t>
      </w:r>
      <w:r w:rsidR="00760A8D" w:rsidRPr="007E295F">
        <w:rPr>
          <w:color w:val="000000" w:themeColor="text1"/>
        </w:rPr>
        <w:t xml:space="preserve">, </w:t>
      </w:r>
      <w:r w:rsidRPr="007E295F">
        <w:rPr>
          <w:color w:val="000000" w:themeColor="text1"/>
        </w:rPr>
        <w:t xml:space="preserve">socialement dévalorisées ou encore dominées. Ce qui est bien le cas de la recherche </w:t>
      </w:r>
      <w:r w:rsidR="00200B3E" w:rsidRPr="007E295F">
        <w:rPr>
          <w:color w:val="000000" w:themeColor="text1"/>
        </w:rPr>
        <w:t>T2I</w:t>
      </w:r>
      <w:r w:rsidR="00DC47C0" w:rsidRPr="007E295F">
        <w:rPr>
          <w:color w:val="000000" w:themeColor="text1"/>
        </w:rPr>
        <w:t xml:space="preserve"> qui, se voulant recherche-action, implique</w:t>
      </w:r>
      <w:r w:rsidRPr="007E295F">
        <w:rPr>
          <w:color w:val="000000" w:themeColor="text1"/>
        </w:rPr>
        <w:t xml:space="preserve"> des personnes percevant le revenu de solidarité active et vivant toutes des situations de fragilité sociale, même si ces situations ne constituent pas l’ensemble de leurs expériences de vie. Dans la recherche </w:t>
      </w:r>
      <w:r w:rsidR="00200B3E" w:rsidRPr="007E295F">
        <w:rPr>
          <w:color w:val="000000" w:themeColor="text1"/>
        </w:rPr>
        <w:t>T2I</w:t>
      </w:r>
      <w:r w:rsidRPr="007E295F">
        <w:rPr>
          <w:color w:val="000000" w:themeColor="text1"/>
        </w:rPr>
        <w:t xml:space="preserve">, envisagée par </w:t>
      </w:r>
      <w:r w:rsidR="00DC47C0" w:rsidRPr="007E295F">
        <w:rPr>
          <w:color w:val="000000" w:themeColor="text1"/>
        </w:rPr>
        <w:t>un</w:t>
      </w:r>
      <w:r w:rsidRPr="007E295F">
        <w:rPr>
          <w:color w:val="000000" w:themeColor="text1"/>
        </w:rPr>
        <w:t xml:space="preserve"> collectif de recherche nouvellement constitué, l’ambition était d’associer et de s’associer avec une grande diversité d’acteurs sociaux impliquées à des titres divers dans « l’offre d’insertion » déployée sur un département. Or, si cette recherche comprend donc une telle diversité d’acteurs</w:t>
      </w:r>
      <w:r w:rsidR="00DC47C0" w:rsidRPr="007E295F">
        <w:rPr>
          <w:color w:val="000000" w:themeColor="text1"/>
        </w:rPr>
        <w:t>,</w:t>
      </w:r>
      <w:r w:rsidRPr="007E295F">
        <w:rPr>
          <w:color w:val="000000" w:themeColor="text1"/>
        </w:rPr>
        <w:t xml:space="preserve"> elle hérite</w:t>
      </w:r>
      <w:r w:rsidR="00DC47C0" w:rsidRPr="007E295F">
        <w:rPr>
          <w:color w:val="000000" w:themeColor="text1"/>
        </w:rPr>
        <w:t xml:space="preserve"> par ailleurs</w:t>
      </w:r>
      <w:r w:rsidRPr="007E295F">
        <w:rPr>
          <w:color w:val="000000" w:themeColor="text1"/>
        </w:rPr>
        <w:t xml:space="preserve"> des ancrages sociaux, des dispositions sociales et identitaires, des relations fon</w:t>
      </w:r>
      <w:r w:rsidR="00DC47C0" w:rsidRPr="007E295F">
        <w:rPr>
          <w:color w:val="000000" w:themeColor="text1"/>
        </w:rPr>
        <w:t>ctionnelles et symboliques qui assignent des places relatives à chacune et chacun. Comment concevoir la nouveauté de cette association à l’occasion de cette recherche sans pouvoir toutefois mettre en suspens les associations ordinaires entre ces acteurs ?</w:t>
      </w:r>
      <w:r w:rsidR="006F6480" w:rsidRPr="007E295F">
        <w:rPr>
          <w:color w:val="000000" w:themeColor="text1"/>
        </w:rPr>
        <w:t xml:space="preserve"> </w:t>
      </w:r>
      <w:r w:rsidR="00E57518" w:rsidRPr="007E295F">
        <w:rPr>
          <w:color w:val="000000" w:themeColor="text1"/>
        </w:rPr>
        <w:t xml:space="preserve">Autrement dit, quelles nouvelles relations de travail scientifique sont engagées à cette occasion ? Quelles menaces mais aussi quelles opportunités soutiennent ces configurations d’associations émergeantes ? Quels sont les soubassements fondant cette action recherche en commun ? </w:t>
      </w:r>
      <w:r w:rsidR="00DC47C0" w:rsidRPr="007E295F">
        <w:rPr>
          <w:color w:val="000000" w:themeColor="text1"/>
        </w:rPr>
        <w:t xml:space="preserve">A quelles difficultés avons-nous été confrontés entre ambition initiale et mise en œuvre concrète dans un </w:t>
      </w:r>
      <w:r w:rsidR="00E57518" w:rsidRPr="007E295F">
        <w:rPr>
          <w:color w:val="000000" w:themeColor="text1"/>
        </w:rPr>
        <w:t>« </w:t>
      </w:r>
      <w:r w:rsidR="00DC47C0" w:rsidRPr="007E295F">
        <w:rPr>
          <w:color w:val="000000" w:themeColor="text1"/>
        </w:rPr>
        <w:t>ici et maintenant</w:t>
      </w:r>
      <w:r w:rsidR="00E57518" w:rsidRPr="007E295F">
        <w:rPr>
          <w:color w:val="000000" w:themeColor="text1"/>
        </w:rPr>
        <w:t> »</w:t>
      </w:r>
      <w:r w:rsidR="00DC47C0" w:rsidRPr="007E295F">
        <w:rPr>
          <w:color w:val="000000" w:themeColor="text1"/>
        </w:rPr>
        <w:t xml:space="preserve"> ? Quelles inventions sont identifiables ? Quels empêchements se sont imposés ? Ce sont ces questions que nous souhaitons ici éclairer, dans </w:t>
      </w:r>
      <w:r w:rsidR="00DC47C0" w:rsidRPr="007E295F">
        <w:rPr>
          <w:color w:val="000000" w:themeColor="text1"/>
        </w:rPr>
        <w:lastRenderedPageBreak/>
        <w:t>la lignée des réflexions qui animent les pratiques de la recherche</w:t>
      </w:r>
      <w:r w:rsidR="00E57518" w:rsidRPr="007E295F">
        <w:rPr>
          <w:color w:val="000000" w:themeColor="text1"/>
        </w:rPr>
        <w:t>-</w:t>
      </w:r>
      <w:r w:rsidR="00DC47C0" w:rsidRPr="007E295F">
        <w:rPr>
          <w:color w:val="000000" w:themeColor="text1"/>
        </w:rPr>
        <w:t>action, intervention, collaborative, partenariale,</w:t>
      </w:r>
      <w:r w:rsidR="00F86DC1" w:rsidRPr="007E295F">
        <w:rPr>
          <w:color w:val="000000" w:themeColor="text1"/>
        </w:rPr>
        <w:t xml:space="preserve"> participative</w:t>
      </w:r>
      <w:r w:rsidR="00DC47C0" w:rsidRPr="007E295F">
        <w:rPr>
          <w:color w:val="000000" w:themeColor="text1"/>
        </w:rPr>
        <w:t xml:space="preserve"> etc. ayant toute pour ambition une plus grande participation des acteurs sociaux impliqués dans la recherche à la production de l’activité de recherche et des savoirs. En revenant </w:t>
      </w:r>
      <w:r w:rsidR="00047437" w:rsidRPr="007E295F">
        <w:rPr>
          <w:color w:val="000000" w:themeColor="text1"/>
        </w:rPr>
        <w:t xml:space="preserve">sur la réalisation de cette recherche </w:t>
      </w:r>
      <w:r w:rsidR="00DC47C0" w:rsidRPr="007E295F">
        <w:rPr>
          <w:color w:val="000000" w:themeColor="text1"/>
        </w:rPr>
        <w:t xml:space="preserve">dans une démarche à « ciel ouvert », selon l’expression du </w:t>
      </w:r>
      <w:proofErr w:type="spellStart"/>
      <w:r w:rsidR="00DC47C0" w:rsidRPr="007E295F">
        <w:rPr>
          <w:color w:val="000000" w:themeColor="text1"/>
        </w:rPr>
        <w:t>postfacier</w:t>
      </w:r>
      <w:proofErr w:type="spellEnd"/>
      <w:r w:rsidR="00DC47C0" w:rsidRPr="007E295F">
        <w:rPr>
          <w:color w:val="000000" w:themeColor="text1"/>
        </w:rPr>
        <w:t xml:space="preserve"> de l’ouvrage collectif reprenant l’ensemble de la recherche </w:t>
      </w:r>
      <w:r w:rsidR="00200B3E" w:rsidRPr="007E295F">
        <w:rPr>
          <w:color w:val="000000" w:themeColor="text1"/>
        </w:rPr>
        <w:t>T2I</w:t>
      </w:r>
      <w:r w:rsidR="00DC47C0" w:rsidRPr="007E295F">
        <w:rPr>
          <w:color w:val="000000" w:themeColor="text1"/>
        </w:rPr>
        <w:t xml:space="preserve"> (PICOTE, 2022), </w:t>
      </w:r>
      <w:r w:rsidR="00F86DC1" w:rsidRPr="007E295F">
        <w:rPr>
          <w:color w:val="000000" w:themeColor="text1"/>
        </w:rPr>
        <w:t xml:space="preserve">cet article </w:t>
      </w:r>
      <w:r w:rsidR="00047437" w:rsidRPr="007E295F">
        <w:rPr>
          <w:color w:val="000000" w:themeColor="text1"/>
        </w:rPr>
        <w:t xml:space="preserve">interroge ce qui a eu lieu, ce qui a dérivé de cette première ambition pour finalement arriver sous la modalité d’un événement singulier duquel il est possible d’apprendre. </w:t>
      </w:r>
    </w:p>
    <w:p w14:paraId="507AD16C" w14:textId="77777777" w:rsidR="00864CE4" w:rsidRPr="007E295F" w:rsidRDefault="00864CE4" w:rsidP="00E24E73">
      <w:pPr>
        <w:jc w:val="both"/>
        <w:rPr>
          <w:color w:val="000000" w:themeColor="text1"/>
        </w:rPr>
      </w:pPr>
    </w:p>
    <w:p w14:paraId="4DEBB863" w14:textId="12C0F853" w:rsidR="00047437" w:rsidRDefault="00047437" w:rsidP="00E24E73">
      <w:pPr>
        <w:jc w:val="both"/>
        <w:rPr>
          <w:color w:val="000000" w:themeColor="text1"/>
        </w:rPr>
      </w:pPr>
      <w:r w:rsidRPr="007E295F">
        <w:rPr>
          <w:color w:val="000000" w:themeColor="text1"/>
        </w:rPr>
        <w:t>D’un point de vue méthodologique, trois registres des associations établies et mises en œuvre</w:t>
      </w:r>
      <w:r w:rsidR="00F86DC1" w:rsidRPr="007E295F">
        <w:rPr>
          <w:color w:val="000000" w:themeColor="text1"/>
        </w:rPr>
        <w:t xml:space="preserve"> sont interrogées</w:t>
      </w:r>
      <w:r w:rsidRPr="007E295F">
        <w:rPr>
          <w:color w:val="000000" w:themeColor="text1"/>
        </w:rPr>
        <w:t> </w:t>
      </w:r>
      <w:r w:rsidR="00F86DC1" w:rsidRPr="007E295F">
        <w:rPr>
          <w:color w:val="000000" w:themeColor="text1"/>
        </w:rPr>
        <w:t xml:space="preserve">(il y en a 4, non ? à moins que l’association entre chercheurs soit la même que l’association dans un collectif de recherche) </w:t>
      </w:r>
      <w:r w:rsidRPr="007E295F">
        <w:rPr>
          <w:color w:val="000000" w:themeColor="text1"/>
        </w:rPr>
        <w:t>: associations dans un collectif de recherche nouvellement constitué</w:t>
      </w:r>
      <w:r w:rsidR="00F86DC1" w:rsidRPr="007E295F">
        <w:rPr>
          <w:color w:val="000000" w:themeColor="text1"/>
        </w:rPr>
        <w:t xml:space="preserve"> (i)</w:t>
      </w:r>
      <w:r w:rsidRPr="007E295F">
        <w:rPr>
          <w:color w:val="000000" w:themeColor="text1"/>
        </w:rPr>
        <w:t> ; associations entre les différents participants à la recherche</w:t>
      </w:r>
      <w:r w:rsidR="00F86DC1" w:rsidRPr="007E295F">
        <w:rPr>
          <w:color w:val="000000" w:themeColor="text1"/>
        </w:rPr>
        <w:t xml:space="preserve"> (ii)</w:t>
      </w:r>
      <w:r w:rsidRPr="007E295F">
        <w:rPr>
          <w:color w:val="000000" w:themeColor="text1"/>
        </w:rPr>
        <w:t>, association</w:t>
      </w:r>
      <w:r w:rsidR="00F86DC1" w:rsidRPr="007E295F">
        <w:rPr>
          <w:color w:val="000000" w:themeColor="text1"/>
        </w:rPr>
        <w:t xml:space="preserve"> (</w:t>
      </w:r>
      <w:r w:rsidR="00E10060" w:rsidRPr="007E295F">
        <w:rPr>
          <w:color w:val="000000" w:themeColor="text1"/>
        </w:rPr>
        <w:t>s</w:t>
      </w:r>
      <w:r w:rsidR="00F86DC1" w:rsidRPr="007E295F">
        <w:rPr>
          <w:color w:val="000000" w:themeColor="text1"/>
        </w:rPr>
        <w:t> ?)</w:t>
      </w:r>
      <w:r w:rsidRPr="007E295F">
        <w:rPr>
          <w:color w:val="000000" w:themeColor="text1"/>
        </w:rPr>
        <w:t xml:space="preserve"> entre chercheurs</w:t>
      </w:r>
      <w:r w:rsidR="00F86DC1" w:rsidRPr="007E295F">
        <w:rPr>
          <w:color w:val="000000" w:themeColor="text1"/>
        </w:rPr>
        <w:t xml:space="preserve"> (iii)</w:t>
      </w:r>
      <w:r w:rsidRPr="007E295F">
        <w:rPr>
          <w:color w:val="000000" w:themeColor="text1"/>
        </w:rPr>
        <w:t> ; association</w:t>
      </w:r>
      <w:r w:rsidR="00F86DC1" w:rsidRPr="007E295F">
        <w:rPr>
          <w:color w:val="000000" w:themeColor="text1"/>
        </w:rPr>
        <w:t>(</w:t>
      </w:r>
      <w:r w:rsidR="00E10060" w:rsidRPr="007E295F">
        <w:rPr>
          <w:color w:val="000000" w:themeColor="text1"/>
        </w:rPr>
        <w:t>s</w:t>
      </w:r>
      <w:r w:rsidR="00F86DC1" w:rsidRPr="007E295F">
        <w:rPr>
          <w:color w:val="000000" w:themeColor="text1"/>
        </w:rPr>
        <w:t> ?)</w:t>
      </w:r>
      <w:r w:rsidRPr="007E295F">
        <w:rPr>
          <w:color w:val="000000" w:themeColor="text1"/>
        </w:rPr>
        <w:t xml:space="preserve"> entre chercheurs, commanditaire de la recherche et décideurs institutionnels</w:t>
      </w:r>
      <w:r w:rsidR="00F86DC1" w:rsidRPr="007E295F">
        <w:rPr>
          <w:color w:val="000000" w:themeColor="text1"/>
        </w:rPr>
        <w:t xml:space="preserve"> (iv)</w:t>
      </w:r>
      <w:r w:rsidRPr="007E295F">
        <w:rPr>
          <w:color w:val="000000" w:themeColor="text1"/>
        </w:rPr>
        <w:t xml:space="preserve">. </w:t>
      </w:r>
    </w:p>
    <w:p w14:paraId="100344B3" w14:textId="77777777" w:rsidR="00864CE4" w:rsidRPr="007E295F" w:rsidRDefault="00864CE4" w:rsidP="00E24E73">
      <w:pPr>
        <w:jc w:val="both"/>
        <w:rPr>
          <w:color w:val="000000" w:themeColor="text1"/>
        </w:rPr>
      </w:pPr>
    </w:p>
    <w:p w14:paraId="670D8794" w14:textId="686F3182" w:rsidR="002B494A" w:rsidRDefault="00047437" w:rsidP="00E24E73">
      <w:pPr>
        <w:jc w:val="both"/>
        <w:rPr>
          <w:color w:val="000000" w:themeColor="text1"/>
          <w:shd w:val="clear" w:color="auto" w:fill="FFFFFF"/>
        </w:rPr>
      </w:pPr>
      <w:r w:rsidRPr="007E295F">
        <w:rPr>
          <w:color w:val="000000" w:themeColor="text1"/>
        </w:rPr>
        <w:t>Avant de présenter la recherche en question et les analyses portant sur les trois</w:t>
      </w:r>
      <w:r w:rsidR="00F86DC1" w:rsidRPr="007E295F">
        <w:rPr>
          <w:color w:val="000000" w:themeColor="text1"/>
        </w:rPr>
        <w:t xml:space="preserve"> (quatre ?)</w:t>
      </w:r>
      <w:r w:rsidRPr="007E295F">
        <w:rPr>
          <w:color w:val="000000" w:themeColor="text1"/>
        </w:rPr>
        <w:t xml:space="preserve"> catégories indiquées ci-dessus, il convient de préciser ce que nous appelons le cadre de l’associationnisme et les implications d’une telle conception de la recherche. </w:t>
      </w:r>
      <w:r w:rsidR="001865D1" w:rsidRPr="007E295F">
        <w:rPr>
          <w:color w:val="000000" w:themeColor="text1"/>
        </w:rPr>
        <w:t>Ce cadre se situe dans la suite</w:t>
      </w:r>
      <w:r w:rsidRPr="007E295F">
        <w:rPr>
          <w:color w:val="000000" w:themeColor="text1"/>
        </w:rPr>
        <w:t xml:space="preserve"> </w:t>
      </w:r>
      <w:r w:rsidR="001865D1" w:rsidRPr="007E295F">
        <w:rPr>
          <w:color w:val="000000" w:themeColor="text1"/>
        </w:rPr>
        <w:t>des travaux</w:t>
      </w:r>
      <w:r w:rsidRPr="007E295F">
        <w:rPr>
          <w:color w:val="000000" w:themeColor="text1"/>
        </w:rPr>
        <w:t xml:space="preserve"> porté</w:t>
      </w:r>
      <w:r w:rsidR="001865D1" w:rsidRPr="007E295F">
        <w:rPr>
          <w:color w:val="000000" w:themeColor="text1"/>
        </w:rPr>
        <w:t>s</w:t>
      </w:r>
      <w:r w:rsidRPr="007E295F">
        <w:rPr>
          <w:color w:val="000000" w:themeColor="text1"/>
        </w:rPr>
        <w:t xml:space="preserve"> par Jean-Louis Laville </w:t>
      </w:r>
      <w:r w:rsidR="001D72A5" w:rsidRPr="007E295F">
        <w:rPr>
          <w:color w:val="000000" w:themeColor="text1"/>
        </w:rPr>
        <w:t xml:space="preserve">pour </w:t>
      </w:r>
      <w:r w:rsidRPr="007E295F">
        <w:rPr>
          <w:color w:val="000000" w:themeColor="text1"/>
        </w:rPr>
        <w:t xml:space="preserve">qui, dans </w:t>
      </w:r>
      <w:r w:rsidR="001865D1" w:rsidRPr="007E295F">
        <w:rPr>
          <w:color w:val="000000" w:themeColor="text1"/>
        </w:rPr>
        <w:t>l</w:t>
      </w:r>
      <w:r w:rsidRPr="007E295F">
        <w:rPr>
          <w:color w:val="000000" w:themeColor="text1"/>
        </w:rPr>
        <w:t>a synthèse consacrée à l’économie sociale et solidaire</w:t>
      </w:r>
      <w:r w:rsidR="00F86DC1" w:rsidRPr="007E295F">
        <w:rPr>
          <w:color w:val="000000" w:themeColor="text1"/>
        </w:rPr>
        <w:t xml:space="preserve"> (ESS)</w:t>
      </w:r>
      <w:r w:rsidRPr="007E295F">
        <w:rPr>
          <w:color w:val="000000" w:themeColor="text1"/>
        </w:rPr>
        <w:t xml:space="preserve"> (Laville, 2016)</w:t>
      </w:r>
      <w:r w:rsidR="001D72A5" w:rsidRPr="007E295F">
        <w:rPr>
          <w:color w:val="000000" w:themeColor="text1"/>
        </w:rPr>
        <w:t xml:space="preserve">, </w:t>
      </w:r>
      <w:r w:rsidR="0021012E" w:rsidRPr="007E295F">
        <w:rPr>
          <w:color w:val="000000" w:themeColor="text1"/>
        </w:rPr>
        <w:t>l</w:t>
      </w:r>
      <w:r w:rsidRPr="007E295F">
        <w:rPr>
          <w:color w:val="000000" w:themeColor="text1"/>
        </w:rPr>
        <w:t>’associationnisme porte, dans une acceptation élargie, sur le développement de « l’agir associatif »</w:t>
      </w:r>
      <w:r w:rsidR="0040110C" w:rsidRPr="007E295F">
        <w:rPr>
          <w:color w:val="000000" w:themeColor="text1"/>
        </w:rPr>
        <w:t xml:space="preserve"> (p.</w:t>
      </w:r>
      <w:r w:rsidR="004C3CA3" w:rsidRPr="007E295F">
        <w:rPr>
          <w:color w:val="000000" w:themeColor="text1"/>
        </w:rPr>
        <w:t xml:space="preserve"> </w:t>
      </w:r>
      <w:r w:rsidR="0040110C" w:rsidRPr="007E295F">
        <w:rPr>
          <w:color w:val="000000" w:themeColor="text1"/>
        </w:rPr>
        <w:t>26) où « s’éprouve le pouvoir d’agir ensemble » (p.</w:t>
      </w:r>
      <w:r w:rsidR="004C3CA3" w:rsidRPr="007E295F">
        <w:rPr>
          <w:color w:val="000000" w:themeColor="text1"/>
        </w:rPr>
        <w:t xml:space="preserve"> </w:t>
      </w:r>
      <w:r w:rsidR="0040110C" w:rsidRPr="007E295F">
        <w:rPr>
          <w:color w:val="000000" w:themeColor="text1"/>
        </w:rPr>
        <w:t xml:space="preserve">20) entre appartenances héritées et appartenances construites dans le cadre d’une nouvelle association. Ce dernier « autorise des expériences sociales </w:t>
      </w:r>
      <w:r w:rsidR="001865D1" w:rsidRPr="007E295F">
        <w:rPr>
          <w:color w:val="000000" w:themeColor="text1"/>
        </w:rPr>
        <w:t>œuvrant</w:t>
      </w:r>
      <w:r w:rsidR="0040110C" w:rsidRPr="007E295F">
        <w:rPr>
          <w:color w:val="000000" w:themeColor="text1"/>
        </w:rPr>
        <w:t xml:space="preserve"> à la transformation de l’ordre institutionnel ou participant à la refonte de l’ordre normatif institué » (p.</w:t>
      </w:r>
      <w:r w:rsidR="004C3CA3" w:rsidRPr="007E295F">
        <w:rPr>
          <w:color w:val="000000" w:themeColor="text1"/>
        </w:rPr>
        <w:t xml:space="preserve"> </w:t>
      </w:r>
      <w:r w:rsidR="0040110C" w:rsidRPr="007E295F">
        <w:rPr>
          <w:color w:val="000000" w:themeColor="text1"/>
        </w:rPr>
        <w:t>27). Ainsi, la recherche peut être investie comme un espace « associatif » spécifique (au sens élargi), instituant des sujets de droit dans une égalité juridique de puissance</w:t>
      </w:r>
      <w:r w:rsidR="001865D1" w:rsidRPr="007E295F">
        <w:rPr>
          <w:rStyle w:val="Appelnotedebasdep"/>
          <w:color w:val="000000" w:themeColor="text1"/>
        </w:rPr>
        <w:footnoteReference w:id="5"/>
      </w:r>
      <w:r w:rsidR="0040110C" w:rsidRPr="007E295F">
        <w:rPr>
          <w:color w:val="000000" w:themeColor="text1"/>
        </w:rPr>
        <w:t xml:space="preserve">, générant un espace public émanant de l’ensemble des acteurs et des régulations qu’ils opèrent en vue de la production socialement organisée de savoirs. Cet espace associatif rejoue ainsi les rapports sociaux existant tout en ouvrant vers une reconfiguration de ces derniers par l’ensemble des activités et médiations réalisées à partir d’une ambition partagée de production d’un discours vrai sur le monde de l’insertion. Les chercheurs engagés dans ce type de démarche assument donc l’idée de densifier des pratiques sociales de recherche inspirées des principes démocratiques en construisant </w:t>
      </w:r>
      <w:r w:rsidR="002B494A" w:rsidRPr="007E295F">
        <w:rPr>
          <w:color w:val="000000" w:themeColor="text1"/>
        </w:rPr>
        <w:t>des lieux de socialisation et une expression originale de l’institution scientifique (propos inspirés de Laville, p.</w:t>
      </w:r>
      <w:r w:rsidR="004C3CA3" w:rsidRPr="007E295F">
        <w:rPr>
          <w:color w:val="000000" w:themeColor="text1"/>
        </w:rPr>
        <w:t xml:space="preserve"> </w:t>
      </w:r>
      <w:r w:rsidR="002B494A" w:rsidRPr="007E295F">
        <w:rPr>
          <w:color w:val="000000" w:themeColor="text1"/>
        </w:rPr>
        <w:t xml:space="preserve">29). </w:t>
      </w:r>
      <w:r w:rsidR="00A85A73" w:rsidRPr="007E295F">
        <w:rPr>
          <w:color w:val="000000" w:themeColor="text1"/>
          <w:shd w:val="clear" w:color="auto" w:fill="FFFFFF"/>
        </w:rPr>
        <w:t>Lorsqu’elles sont engagées par des collectifs de recherche, situer les recherches-actions dans l’associationisme au sens de l’association (coopérative) de chercheurs et de l’observation des associations entre acteurs paraît dans ce sens une perspective à approfondir pour asseoir leur légitimité.</w:t>
      </w:r>
    </w:p>
    <w:p w14:paraId="0CCB480F" w14:textId="77777777" w:rsidR="00864CE4" w:rsidRPr="007E295F" w:rsidRDefault="00864CE4" w:rsidP="00E24E73">
      <w:pPr>
        <w:jc w:val="both"/>
        <w:rPr>
          <w:color w:val="000000" w:themeColor="text1"/>
        </w:rPr>
      </w:pPr>
    </w:p>
    <w:p w14:paraId="35E22CDD" w14:textId="33D1A9B9" w:rsidR="000F4F4C" w:rsidRPr="007E295F" w:rsidRDefault="002B494A" w:rsidP="000F4F4C">
      <w:pPr>
        <w:jc w:val="both"/>
        <w:rPr>
          <w:color w:val="000000" w:themeColor="text1"/>
          <w:shd w:val="clear" w:color="auto" w:fill="FFFFFF"/>
        </w:rPr>
      </w:pPr>
      <w:r w:rsidRPr="007E295F">
        <w:rPr>
          <w:color w:val="000000" w:themeColor="text1"/>
        </w:rPr>
        <w:t xml:space="preserve">La recherche engagée est donc finalement doublement concernée par les associations. </w:t>
      </w:r>
      <w:r w:rsidR="003C5B8F" w:rsidRPr="007E295F">
        <w:rPr>
          <w:color w:val="000000" w:themeColor="text1"/>
        </w:rPr>
        <w:t>Premièrement au regard du fait que l’épistémologi</w:t>
      </w:r>
      <w:r w:rsidR="00E10060" w:rsidRPr="007E295F">
        <w:rPr>
          <w:color w:val="000000" w:themeColor="text1"/>
        </w:rPr>
        <w:t>e</w:t>
      </w:r>
      <w:r w:rsidR="003C5B8F" w:rsidRPr="007E295F">
        <w:rPr>
          <w:color w:val="000000" w:themeColor="text1"/>
        </w:rPr>
        <w:t xml:space="preserve"> de cette recherche se rapproche du corpus de travaux sur l’ESS et, plus particulièrement, sur l’économie solidaire et les principes associatifs qui y sont développés. Partant</w:t>
      </w:r>
      <w:r w:rsidR="004C3CA3" w:rsidRPr="007E295F">
        <w:rPr>
          <w:color w:val="000000" w:themeColor="text1"/>
        </w:rPr>
        <w:t xml:space="preserve"> de là</w:t>
      </w:r>
      <w:r w:rsidR="003C5B8F" w:rsidRPr="007E295F">
        <w:rPr>
          <w:color w:val="000000" w:themeColor="text1"/>
        </w:rPr>
        <w:t xml:space="preserve">, </w:t>
      </w:r>
      <w:r w:rsidRPr="007E295F">
        <w:rPr>
          <w:color w:val="000000" w:themeColor="text1"/>
        </w:rPr>
        <w:t xml:space="preserve">il s’agit de promouvoir la construction d’une organisation sociale pour le travail de recherche, heuristique d’un point de vue épistémologique et assumant un impact social d’un point de vue performatif. </w:t>
      </w:r>
      <w:r w:rsidR="003C5B8F" w:rsidRPr="007E295F">
        <w:rPr>
          <w:color w:val="000000" w:themeColor="text1"/>
        </w:rPr>
        <w:t xml:space="preserve">Deuxièmement car </w:t>
      </w:r>
      <w:r w:rsidR="00DD2FE1" w:rsidRPr="007E295F">
        <w:rPr>
          <w:color w:val="000000" w:themeColor="text1"/>
        </w:rPr>
        <w:t xml:space="preserve">en relevant le défi de suivre </w:t>
      </w:r>
      <w:r w:rsidRPr="007E295F">
        <w:rPr>
          <w:color w:val="000000" w:themeColor="text1"/>
        </w:rPr>
        <w:t>les associations réalisées entre les acteurs (selon les recommandations de Bruno Latour, 2005</w:t>
      </w:r>
      <w:r w:rsidR="00F94EB1" w:rsidRPr="007E295F">
        <w:rPr>
          <w:color w:val="000000" w:themeColor="text1"/>
        </w:rPr>
        <w:t>/2007</w:t>
      </w:r>
      <w:r w:rsidRPr="007E295F">
        <w:rPr>
          <w:color w:val="000000" w:themeColor="text1"/>
        </w:rPr>
        <w:t>), il s’agit de rendre compte des réalités sociales et de leurs dynamiques. Cette double approche de l’association</w:t>
      </w:r>
      <w:r w:rsidR="00DD2FE1" w:rsidRPr="007E295F">
        <w:rPr>
          <w:color w:val="000000" w:themeColor="text1"/>
        </w:rPr>
        <w:t xml:space="preserve"> </w:t>
      </w:r>
      <w:r w:rsidRPr="007E295F">
        <w:rPr>
          <w:color w:val="000000" w:themeColor="text1"/>
        </w:rPr>
        <w:t>dans la recherche</w:t>
      </w:r>
      <w:r w:rsidR="00DD2FE1" w:rsidRPr="007E295F">
        <w:rPr>
          <w:color w:val="000000" w:themeColor="text1"/>
        </w:rPr>
        <w:t xml:space="preserve"> (prise comme espace associatif </w:t>
      </w:r>
      <w:r w:rsidR="00DD2FE1" w:rsidRPr="007E295F">
        <w:rPr>
          <w:color w:val="000000" w:themeColor="text1"/>
        </w:rPr>
        <w:lastRenderedPageBreak/>
        <w:t xml:space="preserve">constitutif de la recherche engagée d’une part, et comme associations entre acteurs d’autre </w:t>
      </w:r>
      <w:r w:rsidR="00E10060" w:rsidRPr="007E295F">
        <w:rPr>
          <w:color w:val="000000" w:themeColor="text1"/>
        </w:rPr>
        <w:t>part) présente</w:t>
      </w:r>
      <w:r w:rsidRPr="007E295F">
        <w:rPr>
          <w:color w:val="000000" w:themeColor="text1"/>
        </w:rPr>
        <w:t xml:space="preserve"> dès lors une tension fondatrice des difficultés et des possibilités de développement du travail scientifique ainsi engagé ou à tout le moins visé. En suivant les associations opérées entre les acteurs, il s’agit de rendre compte d’un état existant ; en assumant une visée transformative du monde de l’insertion, il s’agit de provoquer l’établissement de nouvelles associations. Dès lors, l’objet visée par la recherche oscille entre </w:t>
      </w:r>
      <w:r w:rsidR="008B5A45" w:rsidRPr="007E295F">
        <w:rPr>
          <w:color w:val="000000" w:themeColor="text1"/>
        </w:rPr>
        <w:t>réalités sociales hors de l’association de recherche et celles déployées dans celle-ci</w:t>
      </w:r>
      <w:r w:rsidR="000F4F4C" w:rsidRPr="007E295F">
        <w:rPr>
          <w:color w:val="000000" w:themeColor="text1"/>
        </w:rPr>
        <w:t> ; entre les réalités sociales et les mondes souhaitables qui sont questionnés à l’intérieur de l’association de recherche et</w:t>
      </w:r>
      <w:r w:rsidR="00A85A73" w:rsidRPr="007E295F">
        <w:rPr>
          <w:color w:val="000000" w:themeColor="text1"/>
        </w:rPr>
        <w:t xml:space="preserve"> celles et ceux du dehors.</w:t>
      </w:r>
      <w:r w:rsidR="008B5A45" w:rsidRPr="007E295F">
        <w:rPr>
          <w:color w:val="000000" w:themeColor="text1"/>
        </w:rPr>
        <w:t xml:space="preserve"> C’est une telle tension qui</w:t>
      </w:r>
      <w:r w:rsidR="004C3CA3" w:rsidRPr="007E295F">
        <w:rPr>
          <w:color w:val="000000" w:themeColor="text1"/>
        </w:rPr>
        <w:t>,</w:t>
      </w:r>
      <w:r w:rsidR="008B5A45" w:rsidRPr="007E295F">
        <w:rPr>
          <w:color w:val="000000" w:themeColor="text1"/>
        </w:rPr>
        <w:t xml:space="preserve"> selon nous</w:t>
      </w:r>
      <w:r w:rsidR="004C3CA3" w:rsidRPr="007E295F">
        <w:rPr>
          <w:color w:val="000000" w:themeColor="text1"/>
        </w:rPr>
        <w:t>,</w:t>
      </w:r>
      <w:r w:rsidR="008B5A45" w:rsidRPr="007E295F">
        <w:rPr>
          <w:color w:val="000000" w:themeColor="text1"/>
        </w:rPr>
        <w:t xml:space="preserve"> s’est trouvée au cœur de certaines des difficultés rencontrées dans la recherche </w:t>
      </w:r>
      <w:r w:rsidR="00200B3E" w:rsidRPr="007E295F">
        <w:rPr>
          <w:color w:val="000000" w:themeColor="text1"/>
        </w:rPr>
        <w:t>T2I</w:t>
      </w:r>
      <w:r w:rsidR="008B5A45" w:rsidRPr="007E295F">
        <w:rPr>
          <w:color w:val="000000" w:themeColor="text1"/>
        </w:rPr>
        <w:t xml:space="preserve">. </w:t>
      </w:r>
    </w:p>
    <w:p w14:paraId="4A9605F2" w14:textId="77777777" w:rsidR="008B5A45" w:rsidRPr="007E295F" w:rsidRDefault="008B5A45" w:rsidP="00E24E73">
      <w:pPr>
        <w:jc w:val="both"/>
        <w:rPr>
          <w:color w:val="000000" w:themeColor="text1"/>
        </w:rPr>
      </w:pPr>
    </w:p>
    <w:p w14:paraId="786EE203" w14:textId="7E0A7A6C" w:rsidR="008B5A45" w:rsidRPr="007E295F" w:rsidRDefault="008B5A45" w:rsidP="00E24E73">
      <w:pPr>
        <w:pStyle w:val="Paragraphedeliste"/>
        <w:numPr>
          <w:ilvl w:val="0"/>
          <w:numId w:val="1"/>
        </w:numPr>
        <w:jc w:val="both"/>
        <w:rPr>
          <w:color w:val="000000" w:themeColor="text1"/>
        </w:rPr>
      </w:pPr>
      <w:r w:rsidRPr="007E295F">
        <w:rPr>
          <w:color w:val="000000" w:themeColor="text1"/>
        </w:rPr>
        <w:t xml:space="preserve">La recherche </w:t>
      </w:r>
      <w:r w:rsidR="00200B3E" w:rsidRPr="007E295F">
        <w:rPr>
          <w:color w:val="000000" w:themeColor="text1"/>
        </w:rPr>
        <w:t>T2I</w:t>
      </w:r>
      <w:r w:rsidR="004C3CA3" w:rsidRPr="007E295F">
        <w:rPr>
          <w:color w:val="000000" w:themeColor="text1"/>
        </w:rPr>
        <w:t xml:space="preserve"> </w:t>
      </w:r>
    </w:p>
    <w:p w14:paraId="50E189C5" w14:textId="77777777" w:rsidR="008B5A45" w:rsidRPr="007E295F" w:rsidRDefault="008B5A45" w:rsidP="00E24E73">
      <w:pPr>
        <w:jc w:val="both"/>
        <w:rPr>
          <w:color w:val="000000" w:themeColor="text1"/>
        </w:rPr>
      </w:pPr>
    </w:p>
    <w:p w14:paraId="7F446AE5" w14:textId="6D981647" w:rsidR="00154C6F" w:rsidRPr="007E295F" w:rsidRDefault="00DD2FE1" w:rsidP="00E24E73">
      <w:pPr>
        <w:jc w:val="both"/>
        <w:rPr>
          <w:color w:val="000000" w:themeColor="text1"/>
        </w:rPr>
      </w:pPr>
      <w:r w:rsidRPr="007E295F">
        <w:rPr>
          <w:color w:val="000000" w:themeColor="text1"/>
        </w:rPr>
        <w:t>Dans le</w:t>
      </w:r>
      <w:r w:rsidR="00277B65" w:rsidRPr="007E295F">
        <w:rPr>
          <w:color w:val="000000" w:themeColor="text1"/>
        </w:rPr>
        <w:t xml:space="preserve"> contexte de reformulation nationale de la politique d’insertion</w:t>
      </w:r>
      <w:r w:rsidRPr="007E295F">
        <w:rPr>
          <w:color w:val="000000" w:themeColor="text1"/>
        </w:rPr>
        <w:t xml:space="preserve"> (plan pauvreté de 201</w:t>
      </w:r>
      <w:r w:rsidR="00DE0485" w:rsidRPr="007E295F">
        <w:rPr>
          <w:color w:val="000000" w:themeColor="text1"/>
        </w:rPr>
        <w:t>8</w:t>
      </w:r>
      <w:r w:rsidRPr="007E295F">
        <w:rPr>
          <w:color w:val="000000" w:themeColor="text1"/>
        </w:rPr>
        <w:t xml:space="preserve">), </w:t>
      </w:r>
      <w:r w:rsidR="00277B65" w:rsidRPr="007E295F">
        <w:rPr>
          <w:color w:val="000000" w:themeColor="text1"/>
        </w:rPr>
        <w:t>un C</w:t>
      </w:r>
      <w:r w:rsidR="00654139" w:rsidRPr="007E295F">
        <w:rPr>
          <w:color w:val="000000" w:themeColor="text1"/>
        </w:rPr>
        <w:t>onseil Départemental (CD)</w:t>
      </w:r>
      <w:r w:rsidR="00277B65" w:rsidRPr="007E295F">
        <w:rPr>
          <w:color w:val="000000" w:themeColor="text1"/>
        </w:rPr>
        <w:t xml:space="preserve"> a sollicité l’appui de la recherche dans le redéploiement de sa politique territoriale d’insertion. Face </w:t>
      </w:r>
      <w:r w:rsidR="00FD0260" w:rsidRPr="007E295F">
        <w:rPr>
          <w:color w:val="000000" w:themeColor="text1"/>
        </w:rPr>
        <w:t>à un État « re-centralisateur »</w:t>
      </w:r>
      <w:r w:rsidR="00277B65" w:rsidRPr="007E295F">
        <w:rPr>
          <w:color w:val="000000" w:themeColor="text1"/>
        </w:rPr>
        <w:t xml:space="preserve">, ce département et plus précisément sa Direction de l’Action Sociale et de l’Insertion (DASI) a cherché à redéfinir et repréciser son « offre d’insertion » déployée sur ses six territoires. </w:t>
      </w:r>
      <w:r w:rsidR="00654139" w:rsidRPr="007E295F">
        <w:rPr>
          <w:color w:val="000000" w:themeColor="text1"/>
        </w:rPr>
        <w:t>Ce</w:t>
      </w:r>
      <w:r w:rsidR="00277B65" w:rsidRPr="007E295F">
        <w:rPr>
          <w:color w:val="000000" w:themeColor="text1"/>
        </w:rPr>
        <w:t xml:space="preserve"> département est administrativement découpé en six services territoriaux d’insertion (STI). Dans une logique d’optimisation, il s’agit dans ce cadre que l’offre d’insertion bénéficie à l’ensemble des personnes et qu’elle atteigne effectivement sa cible. Dans ce contexte, la demande du CD aux chercheurs consistait, en s’appuyant sur cette architecture institutionnelle, à lever les dysfonctionnements de l’adéquation entre services d’insertion et demandes des personnes. Dans le cadre d’une contractualisation, </w:t>
      </w:r>
      <w:r w:rsidR="00654139" w:rsidRPr="007E295F">
        <w:rPr>
          <w:color w:val="000000" w:themeColor="text1"/>
        </w:rPr>
        <w:t xml:space="preserve">le </w:t>
      </w:r>
      <w:r w:rsidR="00277B65" w:rsidRPr="007E295F">
        <w:rPr>
          <w:color w:val="000000" w:themeColor="text1"/>
        </w:rPr>
        <w:t>collectif de recherche a formulé la poss</w:t>
      </w:r>
      <w:r w:rsidR="00FD0260" w:rsidRPr="007E295F">
        <w:rPr>
          <w:color w:val="000000" w:themeColor="text1"/>
        </w:rPr>
        <w:t xml:space="preserve">ibilité, dans </w:t>
      </w:r>
      <w:r w:rsidR="00277B65" w:rsidRPr="007E295F">
        <w:rPr>
          <w:color w:val="000000" w:themeColor="text1"/>
        </w:rPr>
        <w:t>une première étape</w:t>
      </w:r>
      <w:r w:rsidR="00FD0260" w:rsidRPr="007E295F">
        <w:rPr>
          <w:color w:val="000000" w:themeColor="text1"/>
        </w:rPr>
        <w:t>,</w:t>
      </w:r>
      <w:r w:rsidR="00277B65" w:rsidRPr="007E295F">
        <w:rPr>
          <w:color w:val="000000" w:themeColor="text1"/>
        </w:rPr>
        <w:t xml:space="preserve"> d’un partenariat. Celle de centrer son investigation, dans une démarche proactive de recherche-action, sur la collecte d’informations qualitatives auprès des cadres du département et des professionnels de terrain mais aussi des personnes </w:t>
      </w:r>
      <w:r w:rsidR="00654139" w:rsidRPr="007E295F">
        <w:rPr>
          <w:color w:val="000000" w:themeColor="text1"/>
        </w:rPr>
        <w:t xml:space="preserve">percevant </w:t>
      </w:r>
      <w:r w:rsidR="00277B65" w:rsidRPr="007E295F">
        <w:rPr>
          <w:color w:val="000000" w:themeColor="text1"/>
        </w:rPr>
        <w:t xml:space="preserve">le RSA. Le collectif proposa de mettre en suspens la logique </w:t>
      </w:r>
      <w:proofErr w:type="spellStart"/>
      <w:r w:rsidR="00277B65" w:rsidRPr="007E295F">
        <w:rPr>
          <w:color w:val="000000" w:themeColor="text1"/>
        </w:rPr>
        <w:t>adéquationniste</w:t>
      </w:r>
      <w:proofErr w:type="spellEnd"/>
      <w:r w:rsidR="00277B65" w:rsidRPr="007E295F">
        <w:rPr>
          <w:color w:val="000000" w:themeColor="text1"/>
        </w:rPr>
        <w:t xml:space="preserve"> de l’outil de gestion « chaîne de service » en se concentrant à la fois sur l’offre de services et son opérationnalisation coordonnée et sur l’expertise des premiers concernés par l’action, soit les personnes ciblées par les actions d’insertion. Il s’agissait ainsi de potentiellement déceler les décalages entre les représentations sociales (de l’insertion) des acteurs. L’hypothèse sous-jacente à la démarche consistait à affirmer que les dysfonctionnements des politiques d’insertion, outre la </w:t>
      </w:r>
      <w:proofErr w:type="spellStart"/>
      <w:r w:rsidR="00277B65" w:rsidRPr="007E295F">
        <w:rPr>
          <w:color w:val="000000" w:themeColor="text1"/>
        </w:rPr>
        <w:t>multi-dimensionnalité</w:t>
      </w:r>
      <w:proofErr w:type="spellEnd"/>
      <w:r w:rsidR="00277B65" w:rsidRPr="007E295F">
        <w:rPr>
          <w:color w:val="000000" w:themeColor="text1"/>
        </w:rPr>
        <w:t xml:space="preserve"> des vies qu’elles souhaitent prendre en compte, provenaient des différences et des décalages entre plusieurs représentations de l’insertion. Ces différentes perceptions, orientant les activités et engagements des acteurs, seraient donc, par hypothèse, la source des dysfonctionnements de la politique d’insertion. Aussi, le CD s’engagea avec le collectif de recherche dans une dynamique visant à privilégier la conception d’une représentation partagée (par tous les acteurs) de l’insertion. La démarche de recherche-action devait réunir les acteurs de l’emploi au-delà de la politique départementale (Maison de l’emploi, Pôle Emploi, Direccte, </w:t>
      </w:r>
      <w:proofErr w:type="spellStart"/>
      <w:r w:rsidR="00277B65" w:rsidRPr="007E295F">
        <w:rPr>
          <w:color w:val="000000" w:themeColor="text1"/>
        </w:rPr>
        <w:t>Ddcs</w:t>
      </w:r>
      <w:proofErr w:type="spellEnd"/>
      <w:r w:rsidR="00277B65" w:rsidRPr="007E295F">
        <w:rPr>
          <w:color w:val="000000" w:themeColor="text1"/>
        </w:rPr>
        <w:t xml:space="preserve"> et Conseil Régional). Ce n’est pas moins qu’une réforme institutionnelle d’ampleur qu’il s’agissait d’envisager par le biais de cette recherche, et ceci en impliquant le maximum d’acteurs concernés. Que la recherche-action engagée puisse favoriser le passage de l’insertion à l’inclusion demeurait un défi qui renforçait la position du CD comme tête de file de l’action sociale susceptible d’entraîner avec lui l’ensemble des acteurs publics concernés. Ainsi, d’une première demande visant à résoudre l’adéquation dysfonctionnelle entre offre et demande en matière d’insertion, le CD et le collectif de recherche </w:t>
      </w:r>
      <w:r w:rsidR="00654139" w:rsidRPr="007E295F">
        <w:rPr>
          <w:color w:val="000000" w:themeColor="text1"/>
        </w:rPr>
        <w:t>souhaitait s’</w:t>
      </w:r>
      <w:r w:rsidR="00277B65" w:rsidRPr="007E295F">
        <w:rPr>
          <w:color w:val="000000" w:themeColor="text1"/>
        </w:rPr>
        <w:t>engag</w:t>
      </w:r>
      <w:r w:rsidR="00654139" w:rsidRPr="007E295F">
        <w:rPr>
          <w:color w:val="000000" w:themeColor="text1"/>
        </w:rPr>
        <w:t>er</w:t>
      </w:r>
      <w:r w:rsidR="00277B65" w:rsidRPr="007E295F">
        <w:rPr>
          <w:color w:val="000000" w:themeColor="text1"/>
        </w:rPr>
        <w:t xml:space="preserve"> dans une démarche transformative visant à décaler les regards sur les questions d’insertion en agissant sur le volet des représentations collectives de</w:t>
      </w:r>
      <w:r w:rsidR="00654139" w:rsidRPr="007E295F">
        <w:rPr>
          <w:color w:val="000000" w:themeColor="text1"/>
        </w:rPr>
        <w:t xml:space="preserve"> cette dernière</w:t>
      </w:r>
      <w:r w:rsidR="00277B65" w:rsidRPr="007E295F">
        <w:rPr>
          <w:color w:val="000000" w:themeColor="text1"/>
        </w:rPr>
        <w:t xml:space="preserve">. </w:t>
      </w:r>
      <w:r w:rsidR="00E653F2" w:rsidRPr="007E295F">
        <w:rPr>
          <w:color w:val="000000" w:themeColor="text1"/>
        </w:rPr>
        <w:t xml:space="preserve">Par ce biais, la recherche et l’engagement de </w:t>
      </w:r>
      <w:proofErr w:type="spellStart"/>
      <w:r w:rsidR="00E653F2" w:rsidRPr="007E295F">
        <w:rPr>
          <w:color w:val="000000" w:themeColor="text1"/>
        </w:rPr>
        <w:t>chercheur.</w:t>
      </w:r>
      <w:proofErr w:type="gramStart"/>
      <w:r w:rsidR="00E653F2" w:rsidRPr="007E295F">
        <w:rPr>
          <w:color w:val="000000" w:themeColor="text1"/>
        </w:rPr>
        <w:t>e.s</w:t>
      </w:r>
      <w:proofErr w:type="spellEnd"/>
      <w:proofErr w:type="gramEnd"/>
      <w:r w:rsidR="00E653F2" w:rsidRPr="007E295F">
        <w:rPr>
          <w:color w:val="000000" w:themeColor="text1"/>
        </w:rPr>
        <w:t xml:space="preserve"> devaient venir soutenir une transformation souhaitable du monde de l’insertion, </w:t>
      </w:r>
      <w:r w:rsidR="00E653F2" w:rsidRPr="007E295F">
        <w:rPr>
          <w:color w:val="000000" w:themeColor="text1"/>
        </w:rPr>
        <w:lastRenderedPageBreak/>
        <w:t>en interrogeant, par une démarche scientifique, le modèle développé par ce CD. Les outils mobilisés par le CD fonctionnaient-ils ? « Le public » était-il accompagné comme il le souhaitait ? et « L’offre de service d’insertion » répondait-elle aux besoins des « parcours d’insertion »</w:t>
      </w:r>
      <w:r w:rsidR="00A242BD" w:rsidRPr="007E295F">
        <w:rPr>
          <w:color w:val="000000" w:themeColor="text1"/>
        </w:rPr>
        <w:t> ?</w:t>
      </w:r>
    </w:p>
    <w:p w14:paraId="0C1D501C" w14:textId="77777777" w:rsidR="00E653F2" w:rsidRPr="007E295F" w:rsidRDefault="00E653F2" w:rsidP="00E24E73">
      <w:pPr>
        <w:jc w:val="both"/>
        <w:rPr>
          <w:color w:val="000000" w:themeColor="text1"/>
        </w:rPr>
      </w:pPr>
    </w:p>
    <w:p w14:paraId="30E3ECFC" w14:textId="6E442EAE" w:rsidR="00E653F2" w:rsidRPr="007E295F" w:rsidRDefault="00E653F2" w:rsidP="00200B3E">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Encadré</w:t>
      </w:r>
      <w:r w:rsidR="004C3CA3" w:rsidRPr="007E295F">
        <w:rPr>
          <w:color w:val="000000" w:themeColor="text1"/>
        </w:rPr>
        <w:t xml:space="preserve"> : </w:t>
      </w:r>
      <w:r w:rsidRPr="007E295F">
        <w:rPr>
          <w:color w:val="000000" w:themeColor="text1"/>
        </w:rPr>
        <w:t>Méthode</w:t>
      </w:r>
      <w:r w:rsidR="00623772" w:rsidRPr="007E295F">
        <w:rPr>
          <w:color w:val="000000" w:themeColor="text1"/>
        </w:rPr>
        <w:t xml:space="preserve"> et données</w:t>
      </w:r>
    </w:p>
    <w:p w14:paraId="7F71A3ED" w14:textId="428E0D45" w:rsidR="00246FD1" w:rsidRPr="007E295F" w:rsidRDefault="00277B65" w:rsidP="00200B3E">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 xml:space="preserve">Pour résumer la démarche </w:t>
      </w:r>
      <w:r w:rsidR="00E10060" w:rsidRPr="007E295F">
        <w:rPr>
          <w:color w:val="000000" w:themeColor="text1"/>
        </w:rPr>
        <w:t>méthodologique</w:t>
      </w:r>
      <w:r w:rsidRPr="007E295F">
        <w:rPr>
          <w:color w:val="000000" w:themeColor="text1"/>
        </w:rPr>
        <w:t xml:space="preserve"> mise en </w:t>
      </w:r>
      <w:r w:rsidR="00154C6F" w:rsidRPr="007E295F">
        <w:rPr>
          <w:color w:val="000000" w:themeColor="text1"/>
        </w:rPr>
        <w:t>œuvre</w:t>
      </w:r>
      <w:r w:rsidRPr="007E295F">
        <w:rPr>
          <w:color w:val="000000" w:themeColor="text1"/>
        </w:rPr>
        <w:t>, celle-ci a opéré selon deux logiques</w:t>
      </w:r>
      <w:r w:rsidR="00E653F2" w:rsidRPr="007E295F">
        <w:rPr>
          <w:color w:val="000000" w:themeColor="text1"/>
        </w:rPr>
        <w:t xml:space="preserve"> mêlées</w:t>
      </w:r>
      <w:r w:rsidRPr="007E295F">
        <w:rPr>
          <w:color w:val="000000" w:themeColor="text1"/>
        </w:rPr>
        <w:t xml:space="preserve"> : </w:t>
      </w:r>
      <w:r w:rsidR="00E653F2" w:rsidRPr="007E295F">
        <w:rPr>
          <w:color w:val="000000" w:themeColor="text1"/>
        </w:rPr>
        <w:t>celle de l’</w:t>
      </w:r>
      <w:r w:rsidRPr="007E295F">
        <w:rPr>
          <w:color w:val="000000" w:themeColor="text1"/>
        </w:rPr>
        <w:t>extractivis</w:t>
      </w:r>
      <w:r w:rsidR="00E653F2" w:rsidRPr="007E295F">
        <w:rPr>
          <w:color w:val="000000" w:themeColor="text1"/>
        </w:rPr>
        <w:t>me</w:t>
      </w:r>
      <w:r w:rsidRPr="007E295F">
        <w:rPr>
          <w:color w:val="000000" w:themeColor="text1"/>
        </w:rPr>
        <w:t xml:space="preserve"> et</w:t>
      </w:r>
      <w:r w:rsidR="00E653F2" w:rsidRPr="007E295F">
        <w:rPr>
          <w:color w:val="000000" w:themeColor="text1"/>
        </w:rPr>
        <w:t xml:space="preserve"> celle de la</w:t>
      </w:r>
      <w:r w:rsidRPr="007E295F">
        <w:rPr>
          <w:color w:val="000000" w:themeColor="text1"/>
        </w:rPr>
        <w:t xml:space="preserve"> </w:t>
      </w:r>
      <w:r w:rsidR="00654139" w:rsidRPr="007E295F">
        <w:rPr>
          <w:color w:val="000000" w:themeColor="text1"/>
        </w:rPr>
        <w:t>régénérati</w:t>
      </w:r>
      <w:r w:rsidR="00E653F2" w:rsidRPr="007E295F">
        <w:rPr>
          <w:color w:val="000000" w:themeColor="text1"/>
        </w:rPr>
        <w:t>on</w:t>
      </w:r>
      <w:r w:rsidR="00A242BD" w:rsidRPr="007E295F">
        <w:rPr>
          <w:color w:val="000000" w:themeColor="text1"/>
        </w:rPr>
        <w:t xml:space="preserve"> et/ou transformation</w:t>
      </w:r>
      <w:r w:rsidR="00246FD1" w:rsidRPr="007E295F">
        <w:rPr>
          <w:color w:val="000000" w:themeColor="text1"/>
        </w:rPr>
        <w:t xml:space="preserve"> (Cervera, 2022).</w:t>
      </w:r>
    </w:p>
    <w:p w14:paraId="72F5C90D" w14:textId="7E9B8FC9" w:rsidR="00246FD1" w:rsidRPr="007E295F" w:rsidRDefault="00246FD1" w:rsidP="00246FD1">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L’extractivisme, dans le domaine de la recherche en sciences sociales, fait échos à la collecte de données. L’enquête « extrai</w:t>
      </w:r>
      <w:r w:rsidR="004C3CA3" w:rsidRPr="007E295F">
        <w:rPr>
          <w:color w:val="000000" w:themeColor="text1"/>
        </w:rPr>
        <w:t>t</w:t>
      </w:r>
      <w:r w:rsidRPr="007E295F">
        <w:rPr>
          <w:color w:val="000000" w:themeColor="text1"/>
        </w:rPr>
        <w:t> » de la réalité sociale un certain nombre de faits, de discours, d’indices, d’éléments informant les pratiques, de réponses à un questionnaire, etc. Un fois ces données collectées (construites), le temps de l’analyse</w:t>
      </w:r>
      <w:r w:rsidR="000A1097" w:rsidRPr="007E295F">
        <w:rPr>
          <w:color w:val="000000" w:themeColor="text1"/>
        </w:rPr>
        <w:t xml:space="preserve"> puis de l’écriture</w:t>
      </w:r>
      <w:r w:rsidRPr="007E295F">
        <w:rPr>
          <w:color w:val="000000" w:themeColor="text1"/>
        </w:rPr>
        <w:t xml:space="preserve"> donne à la recherche le privilège de la distanciation, permettant de relier sa démarche empirique à son ambition théorique. L’objectif vise l’accumulation des connaissances pendant que la réalité sociale continue à se transformer.</w:t>
      </w:r>
    </w:p>
    <w:p w14:paraId="501FB125" w14:textId="487BBD3D" w:rsidR="000A1097" w:rsidRPr="007E295F" w:rsidRDefault="000A1097" w:rsidP="00246FD1">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 xml:space="preserve">La régénération, en recherche, se situe sur un autre plan </w:t>
      </w:r>
      <w:r w:rsidR="006F6923" w:rsidRPr="007E295F">
        <w:rPr>
          <w:color w:val="000000" w:themeColor="text1"/>
        </w:rPr>
        <w:t>car</w:t>
      </w:r>
      <w:r w:rsidRPr="007E295F">
        <w:rPr>
          <w:color w:val="000000" w:themeColor="text1"/>
        </w:rPr>
        <w:t xml:space="preserve"> elle envisage le volet normatif de la recherche. Elle implique de prendre en compte à la fois les effets de la collecte sur la réalité sociale (tout en se rappelant le caractère artificiel des situations d’enquête) mais, surtout, elle dessine des espaces de création et de coopération susceptibles de générer invention, </w:t>
      </w:r>
      <w:proofErr w:type="spellStart"/>
      <w:r w:rsidRPr="007E295F">
        <w:rPr>
          <w:color w:val="000000" w:themeColor="text1"/>
        </w:rPr>
        <w:t>ré-appropriation</w:t>
      </w:r>
      <w:proofErr w:type="spellEnd"/>
      <w:r w:rsidRPr="007E295F">
        <w:rPr>
          <w:color w:val="000000" w:themeColor="text1"/>
        </w:rPr>
        <w:t xml:space="preserve">, </w:t>
      </w:r>
      <w:proofErr w:type="spellStart"/>
      <w:r w:rsidRPr="007E295F">
        <w:rPr>
          <w:color w:val="000000" w:themeColor="text1"/>
        </w:rPr>
        <w:t>ré-identification</w:t>
      </w:r>
      <w:proofErr w:type="spellEnd"/>
      <w:r w:rsidRPr="007E295F">
        <w:rPr>
          <w:color w:val="000000" w:themeColor="text1"/>
        </w:rPr>
        <w:t xml:space="preserve"> voire renouvellement des pratiques. Cette optique vise à modifier les contours de la réalité sociale étudiée en veillant à la prise en compte des reconfigurations (des associations) en cours. </w:t>
      </w:r>
    </w:p>
    <w:p w14:paraId="636F50C7" w14:textId="10ACBD47" w:rsidR="000A1097" w:rsidRPr="007E295F" w:rsidRDefault="00623772" w:rsidP="00200B3E">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 xml:space="preserve">Ces deux volets, extractivisme et régénération, ne sont pas </w:t>
      </w:r>
      <w:r w:rsidR="004C3CA3" w:rsidRPr="007E295F">
        <w:rPr>
          <w:color w:val="000000" w:themeColor="text1"/>
        </w:rPr>
        <w:t>tant</w:t>
      </w:r>
      <w:r w:rsidRPr="007E295F">
        <w:rPr>
          <w:color w:val="000000" w:themeColor="text1"/>
        </w:rPr>
        <w:t xml:space="preserve"> opposées et incompatibles qu’ils semblent indispensables l’un à l’autre pour re-ancrer la recherche dans la réalité sociale. </w:t>
      </w:r>
    </w:p>
    <w:p w14:paraId="33449953" w14:textId="0181987D" w:rsidR="00A90E9E" w:rsidRPr="007E295F" w:rsidRDefault="00277B65" w:rsidP="00200B3E">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 xml:space="preserve">Au niveau </w:t>
      </w:r>
      <w:proofErr w:type="spellStart"/>
      <w:r w:rsidRPr="007E295F">
        <w:rPr>
          <w:color w:val="000000" w:themeColor="text1"/>
        </w:rPr>
        <w:t>extractiviste</w:t>
      </w:r>
      <w:proofErr w:type="spellEnd"/>
      <w:r w:rsidRPr="007E295F">
        <w:rPr>
          <w:color w:val="000000" w:themeColor="text1"/>
        </w:rPr>
        <w:t xml:space="preserve">, ce sont cinq types de données qui ont pu être collectées : celles issues de transcriptions d’enregistrement des entretiens individuels ; celles issues de la transcription d’enregistrement de la première série de </w:t>
      </w:r>
      <w:r w:rsidRPr="007E295F">
        <w:rPr>
          <w:i/>
          <w:iCs/>
          <w:color w:val="000000" w:themeColor="text1"/>
        </w:rPr>
        <w:t>focus group</w:t>
      </w:r>
      <w:r w:rsidRPr="007E295F">
        <w:rPr>
          <w:color w:val="000000" w:themeColor="text1"/>
        </w:rPr>
        <w:t xml:space="preserve"> ; celles de la création collective de la seconde série de </w:t>
      </w:r>
      <w:r w:rsidRPr="007E295F">
        <w:rPr>
          <w:i/>
          <w:iCs/>
          <w:color w:val="000000" w:themeColor="text1"/>
        </w:rPr>
        <w:t>focus group</w:t>
      </w:r>
      <w:r w:rsidRPr="007E295F">
        <w:rPr>
          <w:color w:val="000000" w:themeColor="text1"/>
        </w:rPr>
        <w:t xml:space="preserve">, celles des deux séries d’atelier et enfin celles des réunions restitutives et des comités de pilotage. </w:t>
      </w:r>
    </w:p>
    <w:p w14:paraId="7EC5DCAE" w14:textId="1B587B65" w:rsidR="00277B65" w:rsidRPr="007E295F" w:rsidRDefault="00277B65" w:rsidP="00200B3E">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 xml:space="preserve">Au niveau de la régénération des pratiques, les espaces de coopération concrétisés par les ateliers avec les professionnels et par les </w:t>
      </w:r>
      <w:r w:rsidRPr="007E295F">
        <w:rPr>
          <w:i/>
          <w:iCs/>
          <w:color w:val="000000" w:themeColor="text1"/>
        </w:rPr>
        <w:t>focus group</w:t>
      </w:r>
      <w:r w:rsidRPr="007E295F">
        <w:rPr>
          <w:color w:val="000000" w:themeColor="text1"/>
        </w:rPr>
        <w:t xml:space="preserve"> avec les personnes recevant l’allocation RSA ambitionnaient de coproduire une connaissance partagée et une représentation commune de l’insertion. À partir de plusieurs artefacts (paperboard, post-</w:t>
      </w:r>
      <w:proofErr w:type="spellStart"/>
      <w:r w:rsidRPr="007E295F">
        <w:rPr>
          <w:color w:val="000000" w:themeColor="text1"/>
        </w:rPr>
        <w:t>its</w:t>
      </w:r>
      <w:proofErr w:type="spellEnd"/>
      <w:r w:rsidRPr="007E295F">
        <w:rPr>
          <w:color w:val="000000" w:themeColor="text1"/>
        </w:rPr>
        <w:t>, récits de situation, représentation graphique), ils visaient à la fois à améliorer les connaissances des situations (expérience de vie et expérience professionnelle conjuguées), d’une part, et à transformer le rapport subjectif de chacun des participants vis-à-vis de la coordination de la politique d’insertion et des services promus auprès des personnes accompagnées, d’autre part.</w:t>
      </w:r>
    </w:p>
    <w:p w14:paraId="777A9BD1" w14:textId="56885D39" w:rsidR="00A90E9E" w:rsidRPr="007E295F" w:rsidRDefault="00A90E9E" w:rsidP="00200B3E">
      <w:pPr>
        <w:pBdr>
          <w:top w:val="single" w:sz="4" w:space="1" w:color="auto"/>
          <w:left w:val="single" w:sz="4" w:space="4" w:color="auto"/>
          <w:bottom w:val="single" w:sz="4" w:space="1" w:color="auto"/>
          <w:right w:val="single" w:sz="4" w:space="4" w:color="auto"/>
        </w:pBdr>
        <w:jc w:val="both"/>
        <w:rPr>
          <w:color w:val="000000" w:themeColor="text1"/>
        </w:rPr>
      </w:pPr>
      <w:r w:rsidRPr="007E295F">
        <w:rPr>
          <w:color w:val="000000" w:themeColor="text1"/>
        </w:rPr>
        <w:t>De manière parallèle, ces corpus de données ont été complétés par la littérature institutionnelle et scientifiques sur la question de l’insertion et de l’inclusion et, bien sûr, sur les documents internes, organisationnels ou communicationnels, du CD, voire de la politique nationale d’insertion.</w:t>
      </w:r>
    </w:p>
    <w:p w14:paraId="2DBEDB2B" w14:textId="77777777" w:rsidR="00E653F2" w:rsidRPr="007E295F" w:rsidRDefault="00E653F2" w:rsidP="00E24E73">
      <w:pPr>
        <w:jc w:val="both"/>
        <w:rPr>
          <w:color w:val="000000" w:themeColor="text1"/>
        </w:rPr>
      </w:pPr>
    </w:p>
    <w:p w14:paraId="0573EA8A" w14:textId="1AECCF18" w:rsidR="00277B65" w:rsidRPr="007E295F" w:rsidRDefault="00E653F2" w:rsidP="00E24E73">
      <w:pPr>
        <w:jc w:val="both"/>
        <w:rPr>
          <w:color w:val="000000" w:themeColor="text1"/>
        </w:rPr>
      </w:pPr>
      <w:r w:rsidRPr="007E295F">
        <w:rPr>
          <w:color w:val="000000" w:themeColor="text1"/>
        </w:rPr>
        <w:t xml:space="preserve">Les analyses qui suivent (parties 4, 5, 6) donnent à voir les débats, controverses, prises de position et parfois impasses provisoires auxquelles la recherche a donné lieu. </w:t>
      </w:r>
      <w:r w:rsidR="00FD0260" w:rsidRPr="007E295F">
        <w:rPr>
          <w:color w:val="000000" w:themeColor="text1"/>
        </w:rPr>
        <w:t xml:space="preserve">D’un point de vue méthodologique, pour formuler ces analyses, nous avons dans un premier temps identifié les étapes principales de la recherche (la construction d’une première collaboration autour d’un projet commun ; l’appropriation de la commande et de sa reformulation ; les échanges avec les commanditaires ; l’élaboration du dispositif méthodologique ; la réalisation des actions de terrain </w:t>
      </w:r>
      <w:r w:rsidR="00154C6F" w:rsidRPr="007E295F">
        <w:rPr>
          <w:color w:val="000000" w:themeColor="text1"/>
        </w:rPr>
        <w:t>(en itération avec l’étape suivante</w:t>
      </w:r>
      <w:r w:rsidR="00FD0260" w:rsidRPr="007E295F">
        <w:rPr>
          <w:color w:val="000000" w:themeColor="text1"/>
        </w:rPr>
        <w:t xml:space="preserve">) ; l’analyse des matériaux ; la rédaction du rapport </w:t>
      </w:r>
      <w:r w:rsidR="00FD0260" w:rsidRPr="007E295F">
        <w:rPr>
          <w:color w:val="000000" w:themeColor="text1"/>
        </w:rPr>
        <w:lastRenderedPageBreak/>
        <w:t>final), puis deux explorations ont été réalisées pour chacune de ces étapes : l’une</w:t>
      </w:r>
      <w:r w:rsidR="00154C6F" w:rsidRPr="007E295F">
        <w:rPr>
          <w:color w:val="000000" w:themeColor="text1"/>
        </w:rPr>
        <w:t>,</w:t>
      </w:r>
      <w:r w:rsidR="00FD0260" w:rsidRPr="007E295F">
        <w:rPr>
          <w:color w:val="000000" w:themeColor="text1"/>
        </w:rPr>
        <w:t xml:space="preserve"> individuelle, réalisée à partir de nos notes </w:t>
      </w:r>
      <w:r w:rsidR="00154C6F" w:rsidRPr="007E295F">
        <w:rPr>
          <w:color w:val="000000" w:themeColor="text1"/>
        </w:rPr>
        <w:t xml:space="preserve">respectives </w:t>
      </w:r>
      <w:r w:rsidR="00FD0260" w:rsidRPr="007E295F">
        <w:rPr>
          <w:color w:val="000000" w:themeColor="text1"/>
        </w:rPr>
        <w:t xml:space="preserve">prises lors de la recherche ; l’autre réalisée collectivement à partir de </w:t>
      </w:r>
      <w:r w:rsidR="00154C6F" w:rsidRPr="007E295F">
        <w:rPr>
          <w:color w:val="000000" w:themeColor="text1"/>
        </w:rPr>
        <w:t>questionnements problématisant</w:t>
      </w:r>
      <w:r w:rsidR="00FD0260" w:rsidRPr="007E295F">
        <w:rPr>
          <w:color w:val="000000" w:themeColor="text1"/>
        </w:rPr>
        <w:t xml:space="preserve"> sur chacune de ces étapes. Des épisodes clés de la recherche ont ainsi été identifiés et explorés individuellement et collectivement. Les réflexions qui suivent sont le fruit de ces investigations. </w:t>
      </w:r>
      <w:r w:rsidR="0045610D" w:rsidRPr="007E295F">
        <w:rPr>
          <w:color w:val="000000" w:themeColor="text1"/>
        </w:rPr>
        <w:t>En guis</w:t>
      </w:r>
      <w:r w:rsidR="00154C6F" w:rsidRPr="007E295F">
        <w:rPr>
          <w:color w:val="000000" w:themeColor="text1"/>
        </w:rPr>
        <w:t>e de conclusion, nous développ</w:t>
      </w:r>
      <w:r w:rsidR="0045610D" w:rsidRPr="007E295F">
        <w:rPr>
          <w:color w:val="000000" w:themeColor="text1"/>
        </w:rPr>
        <w:t xml:space="preserve">ons une interrogation sur une proposition majeure de ce travail, celle de </w:t>
      </w:r>
      <w:r w:rsidR="00F94EB1" w:rsidRPr="007E295F">
        <w:rPr>
          <w:color w:val="000000" w:themeColor="text1"/>
        </w:rPr>
        <w:t>« </w:t>
      </w:r>
      <w:r w:rsidR="0045610D" w:rsidRPr="007E295F">
        <w:rPr>
          <w:color w:val="000000" w:themeColor="text1"/>
        </w:rPr>
        <w:t>territoire capacitant</w:t>
      </w:r>
      <w:r w:rsidR="00F94EB1" w:rsidRPr="007E295F">
        <w:rPr>
          <w:color w:val="000000" w:themeColor="text1"/>
        </w:rPr>
        <w:t> »</w:t>
      </w:r>
      <w:r w:rsidR="0045610D" w:rsidRPr="007E295F">
        <w:rPr>
          <w:color w:val="000000" w:themeColor="text1"/>
        </w:rPr>
        <w:t>, à la lumière des analyses qui précèdent.</w:t>
      </w:r>
      <w:r w:rsidR="00FD0260" w:rsidRPr="007E295F">
        <w:rPr>
          <w:color w:val="000000" w:themeColor="text1"/>
        </w:rPr>
        <w:t xml:space="preserve"> Il s’agit ainsi de faire le lien entre </w:t>
      </w:r>
      <w:r w:rsidR="00154C6F" w:rsidRPr="007E295F">
        <w:rPr>
          <w:color w:val="000000" w:themeColor="text1"/>
        </w:rPr>
        <w:t xml:space="preserve">qualité des </w:t>
      </w:r>
      <w:r w:rsidR="00FD0260" w:rsidRPr="007E295F">
        <w:rPr>
          <w:color w:val="000000" w:themeColor="text1"/>
        </w:rPr>
        <w:t xml:space="preserve">associations réalisées et production de connaissances. </w:t>
      </w:r>
      <w:r w:rsidR="0045610D" w:rsidRPr="007E295F">
        <w:rPr>
          <w:color w:val="000000" w:themeColor="text1"/>
        </w:rPr>
        <w:t xml:space="preserve"> </w:t>
      </w:r>
    </w:p>
    <w:p w14:paraId="4AF9754B" w14:textId="77777777" w:rsidR="008B5A45" w:rsidRPr="007E295F" w:rsidRDefault="008B5A45" w:rsidP="00E24E73">
      <w:pPr>
        <w:jc w:val="both"/>
        <w:rPr>
          <w:color w:val="000000" w:themeColor="text1"/>
        </w:rPr>
      </w:pPr>
    </w:p>
    <w:p w14:paraId="5F158AD2" w14:textId="77777777" w:rsidR="008B5A45" w:rsidRPr="007E295F" w:rsidRDefault="008B5A45" w:rsidP="00E24E73">
      <w:pPr>
        <w:pStyle w:val="Paragraphedeliste"/>
        <w:numPr>
          <w:ilvl w:val="0"/>
          <w:numId w:val="1"/>
        </w:numPr>
        <w:jc w:val="both"/>
        <w:rPr>
          <w:color w:val="000000" w:themeColor="text1"/>
        </w:rPr>
      </w:pPr>
      <w:r w:rsidRPr="007E295F">
        <w:rPr>
          <w:color w:val="000000" w:themeColor="text1"/>
        </w:rPr>
        <w:t>Une difficile stabilisation de l’association entre chercheurs</w:t>
      </w:r>
    </w:p>
    <w:p w14:paraId="587B8C8E" w14:textId="77777777" w:rsidR="00C02754" w:rsidRPr="007E295F" w:rsidRDefault="00C02754" w:rsidP="00E24E73">
      <w:pPr>
        <w:jc w:val="both"/>
        <w:rPr>
          <w:color w:val="000000" w:themeColor="text1"/>
        </w:rPr>
      </w:pPr>
    </w:p>
    <w:p w14:paraId="16CBFD81" w14:textId="7307845B" w:rsidR="00171895" w:rsidRPr="007E295F" w:rsidRDefault="00E24E73" w:rsidP="00E24E73">
      <w:pPr>
        <w:jc w:val="both"/>
        <w:rPr>
          <w:color w:val="000000" w:themeColor="text1"/>
        </w:rPr>
      </w:pPr>
      <w:r w:rsidRPr="007E295F">
        <w:rPr>
          <w:color w:val="000000" w:themeColor="text1"/>
        </w:rPr>
        <w:t xml:space="preserve">Comme indiqué précédemment, la recherche </w:t>
      </w:r>
      <w:r w:rsidR="00200B3E" w:rsidRPr="007E295F">
        <w:rPr>
          <w:color w:val="000000" w:themeColor="text1"/>
        </w:rPr>
        <w:t>T2I</w:t>
      </w:r>
      <w:r w:rsidRPr="007E295F">
        <w:rPr>
          <w:color w:val="000000" w:themeColor="text1"/>
        </w:rPr>
        <w:t xml:space="preserve"> s’est réalisée en même temps que s’est structuré le collectif de recherche. Cette structuration, loin de suivre une seule logique, s’est élaborée chemin faisant selon trois directions</w:t>
      </w:r>
      <w:r w:rsidR="00171895" w:rsidRPr="007E295F">
        <w:rPr>
          <w:color w:val="000000" w:themeColor="text1"/>
        </w:rPr>
        <w:t xml:space="preserve"> apparues diversement au cours du temps</w:t>
      </w:r>
      <w:r w:rsidRPr="007E295F">
        <w:rPr>
          <w:color w:val="000000" w:themeColor="text1"/>
        </w:rPr>
        <w:t xml:space="preserve">. </w:t>
      </w:r>
    </w:p>
    <w:p w14:paraId="6CFAF2FA" w14:textId="77777777" w:rsidR="00A90E9E" w:rsidRPr="007E295F" w:rsidRDefault="00A90E9E" w:rsidP="00A90E9E">
      <w:pPr>
        <w:ind w:left="708"/>
        <w:jc w:val="both"/>
        <w:rPr>
          <w:color w:val="000000" w:themeColor="text1"/>
        </w:rPr>
      </w:pPr>
    </w:p>
    <w:p w14:paraId="39C1EF92" w14:textId="07E8D150" w:rsidR="000A585B" w:rsidRPr="007E295F" w:rsidRDefault="0053093A" w:rsidP="0053093A">
      <w:pPr>
        <w:pStyle w:val="Paragraphedeliste"/>
        <w:numPr>
          <w:ilvl w:val="0"/>
          <w:numId w:val="3"/>
        </w:numPr>
        <w:jc w:val="both"/>
        <w:rPr>
          <w:color w:val="000000" w:themeColor="text1"/>
        </w:rPr>
      </w:pPr>
      <w:r w:rsidRPr="007E295F">
        <w:rPr>
          <w:color w:val="000000" w:themeColor="text1"/>
        </w:rPr>
        <w:t>Établir une charte ?</w:t>
      </w:r>
    </w:p>
    <w:p w14:paraId="2AC8F024" w14:textId="4F9C49A4" w:rsidR="00154C6F" w:rsidRPr="007E295F" w:rsidRDefault="00154C6F" w:rsidP="0053093A">
      <w:pPr>
        <w:ind w:left="708"/>
        <w:jc w:val="both"/>
        <w:rPr>
          <w:color w:val="000000" w:themeColor="text1"/>
        </w:rPr>
      </w:pPr>
      <w:r w:rsidRPr="007E295F">
        <w:rPr>
          <w:color w:val="000000" w:themeColor="text1"/>
        </w:rPr>
        <w:t>À l’initiative de l’une des membres, et à la suite d’échanges lors des premières réunions de travail où la charte figurait à l’ordre du jour, un document partagé a abouti à une première version d’une possible charte. Le fait que la démarche n’ait finalement pas abouti sans avoir été clairement abandonnée – elle fait encore aujourd’hui l’objet de questionnements dans le cadre de la rédaction de cet ouvrage – témoigne d’une difficulté à partager un même engagement dans la recherche et notamment dans sa visée politique.</w:t>
      </w:r>
    </w:p>
    <w:p w14:paraId="2649A6EF" w14:textId="77777777" w:rsidR="00154C6F" w:rsidRPr="007E295F" w:rsidRDefault="00154C6F" w:rsidP="0053093A">
      <w:pPr>
        <w:ind w:left="708"/>
        <w:jc w:val="both"/>
        <w:rPr>
          <w:color w:val="000000" w:themeColor="text1"/>
        </w:rPr>
      </w:pPr>
      <w:r w:rsidRPr="007E295F">
        <w:rPr>
          <w:color w:val="000000" w:themeColor="text1"/>
        </w:rPr>
        <w:t xml:space="preserve">L’idée d’une charte, comme prémices de nos engagements en commun, figurant une première vision de notre engagement dans la recherche, a été poursuivie afin d’identifier et de s’accorder sur un récit commun en mesure de conduire et réguler notre travail de recherche, en associant une conception partagée de la fonction et nature de celui-ci. Elle caractérise ici un mode d’engagement possible, donnant forme politiquement à la recherche à mener, par le biais d’un cadre axiologique commun aux actions de chaque chercheur engagé. Pour ce faire, des principes ont été formalisés : </w:t>
      </w:r>
    </w:p>
    <w:p w14:paraId="7295E721" w14:textId="08250B3A" w:rsidR="00154C6F" w:rsidRPr="007E295F" w:rsidRDefault="000A585B" w:rsidP="0053093A">
      <w:pPr>
        <w:ind w:left="1416"/>
        <w:jc w:val="both"/>
        <w:rPr>
          <w:color w:val="000000" w:themeColor="text1"/>
        </w:rPr>
      </w:pPr>
      <w:r w:rsidRPr="007E295F">
        <w:rPr>
          <w:color w:val="000000" w:themeColor="text1"/>
        </w:rPr>
        <w:t>« </w:t>
      </w:r>
      <w:r w:rsidR="00154C6F" w:rsidRPr="007E295F">
        <w:rPr>
          <w:color w:val="000000" w:themeColor="text1"/>
        </w:rPr>
        <w:t>[Le collectif PICOTE] part du principe que le développement [des territoires] s’articule autour de trois dimensions clés : autonomie des acteurs, éthique des démarches et travail collaboratif/coopératif (co-construction). Et d’autre part, les différents travaux ont pour objectif d’accompagner par la recherche les transformations économiques, institutionnelles, sociales, écologiques sur les territoires dans une perspective éthique et solidaire.</w:t>
      </w:r>
      <w:r w:rsidRPr="007E295F">
        <w:rPr>
          <w:color w:val="000000" w:themeColor="text1"/>
        </w:rPr>
        <w:t> »</w:t>
      </w:r>
      <w:r w:rsidR="00154C6F" w:rsidRPr="007E295F">
        <w:rPr>
          <w:color w:val="000000" w:themeColor="text1"/>
        </w:rPr>
        <w:t xml:space="preserve"> (Extrait de document de travail interne au collectif, 2019).</w:t>
      </w:r>
    </w:p>
    <w:p w14:paraId="195336E2" w14:textId="77777777" w:rsidR="000A585B" w:rsidRPr="007E295F" w:rsidRDefault="00154C6F" w:rsidP="0053093A">
      <w:pPr>
        <w:ind w:left="708"/>
        <w:jc w:val="both"/>
        <w:rPr>
          <w:color w:val="000000" w:themeColor="text1"/>
        </w:rPr>
      </w:pPr>
      <w:r w:rsidRPr="007E295F">
        <w:rPr>
          <w:color w:val="000000" w:themeColor="text1"/>
        </w:rPr>
        <w:t xml:space="preserve">Or, cette démarche souhaitant peser sur l’organisation collective et le sens associé à l’action de notre collectif, s’est finalement confrontée à deux autres perspectives plus implicites traçant d’autres modes d’engagement et conception politique de la recherche. </w:t>
      </w:r>
    </w:p>
    <w:p w14:paraId="07DFEA83" w14:textId="77777777" w:rsidR="000A585B" w:rsidRPr="007E295F" w:rsidRDefault="000A585B" w:rsidP="00E24E73">
      <w:pPr>
        <w:jc w:val="both"/>
        <w:rPr>
          <w:color w:val="000000" w:themeColor="text1"/>
        </w:rPr>
      </w:pPr>
    </w:p>
    <w:p w14:paraId="2789EFAB" w14:textId="6B0517AF" w:rsidR="000A585B" w:rsidRPr="007E295F" w:rsidRDefault="0053093A" w:rsidP="0053093A">
      <w:pPr>
        <w:pStyle w:val="Paragraphedeliste"/>
        <w:numPr>
          <w:ilvl w:val="0"/>
          <w:numId w:val="3"/>
        </w:numPr>
        <w:jc w:val="both"/>
        <w:rPr>
          <w:color w:val="000000" w:themeColor="text1"/>
        </w:rPr>
      </w:pPr>
      <w:r w:rsidRPr="007E295F">
        <w:rPr>
          <w:color w:val="000000" w:themeColor="text1"/>
        </w:rPr>
        <w:t xml:space="preserve">L’auto-institution du collectif par l’action </w:t>
      </w:r>
    </w:p>
    <w:p w14:paraId="7BD0C1B0" w14:textId="395907B8" w:rsidR="00154C6F" w:rsidRPr="007E295F" w:rsidRDefault="00154C6F" w:rsidP="0053093A">
      <w:pPr>
        <w:ind w:left="708"/>
        <w:jc w:val="both"/>
        <w:rPr>
          <w:color w:val="000000" w:themeColor="text1"/>
        </w:rPr>
      </w:pPr>
      <w:r w:rsidRPr="007E295F">
        <w:rPr>
          <w:color w:val="000000" w:themeColor="text1"/>
        </w:rPr>
        <w:t>L’une d’entre elles accorde plus de poids aux régulations conjointes de l’action, encadrées par la rigueur et la systématicité de la démarche scientifique, qui peut être ancrée dans la tradition positiviste mais pas seulement. Elle caractérise une forme d’engagement possible, arc-bouté à une approche pragmatiste. La valeur de l’action étant conférée par les réalisations effectives, leur réussite et non par des principes définis a priori. Les principes de la recherche-action visés initialement vont dépendre des réalités concrètes de l’opérationnalisation de la recherche. À une vision délibérative demandant d’interroger et accorder les valeurs a priori de l’action scientifique et les principes qui en découlent, s’oppose ici une vision plus pragmatique d’un collectif auto-</w:t>
      </w:r>
      <w:r w:rsidRPr="007E295F">
        <w:rPr>
          <w:color w:val="000000" w:themeColor="text1"/>
        </w:rPr>
        <w:lastRenderedPageBreak/>
        <w:t xml:space="preserve">constituant dans l’action en train de se faire. C’est finalement dans le cours de l’action, et en prenant appui sur la méthodologie scientifique et son approche instrumentée, que le collectif pourra statuer au fur et à mesure de l’avancement du projet et des choix à opérer, des situations à résoudre, des productions à réaliser, sur l’effectivité de la recherche-action. </w:t>
      </w:r>
    </w:p>
    <w:p w14:paraId="25BC978D" w14:textId="1F24B031" w:rsidR="00154C6F" w:rsidRDefault="00154C6F" w:rsidP="0053093A">
      <w:pPr>
        <w:ind w:left="708"/>
        <w:jc w:val="both"/>
        <w:rPr>
          <w:color w:val="000000" w:themeColor="text1"/>
        </w:rPr>
      </w:pPr>
      <w:r w:rsidRPr="007E295F">
        <w:rPr>
          <w:color w:val="000000" w:themeColor="text1"/>
        </w:rPr>
        <w:t xml:space="preserve">Ainsi, c’est lors des </w:t>
      </w:r>
      <w:r w:rsidRPr="007E295F">
        <w:rPr>
          <w:i/>
          <w:color w:val="000000" w:themeColor="text1"/>
        </w:rPr>
        <w:t>focus group</w:t>
      </w:r>
      <w:r w:rsidRPr="007E295F">
        <w:rPr>
          <w:color w:val="000000" w:themeColor="text1"/>
        </w:rPr>
        <w:t xml:space="preserve"> réalisés en binôme avec les personnes percevant le RSA que les chercheurs ont été amenés à s’accorder sur le sens effectif d’une co-construction avec les acteurs et ont défini, dans l’action effective, les formes de la symétrie à construire avec eux ou des interactions en réciprocité. Cette symétrie a aussi été effective et éprouvée à travers d’autres scènes : tout d’abord, celle des multiples discussions et échanges par courriels, qui prirent parfois la forme de négociations, avec le porteur de projet pour le CD. Ces échanges poursuivirent à la fois l’objectif de légitimation de la démarche de recherche visant à décadrer la demande initiale du CD dans une forme acceptable pour la direction de l’action sociale et de l’insertion de ce dernier, tout autant qu’ils permettaient au collectif d’ouvrir les terrains de recherche sur les territoires et au porteur de projet du CD d’intégrer la recherche-action au déploiement d’une possible réforme de la politique sociale et d’insertion du CD. Ces espaces plus symétriques atténuèrent le rapport instrumental de la relation entre financeur et financé. </w:t>
      </w:r>
    </w:p>
    <w:p w14:paraId="5D880F6E" w14:textId="77777777" w:rsidR="00551606" w:rsidRPr="007E295F" w:rsidRDefault="00551606" w:rsidP="0053093A">
      <w:pPr>
        <w:ind w:left="708"/>
        <w:jc w:val="both"/>
        <w:rPr>
          <w:color w:val="000000" w:themeColor="text1"/>
        </w:rPr>
      </w:pPr>
    </w:p>
    <w:p w14:paraId="0329442D" w14:textId="5E9FE6E8" w:rsidR="00154C6F" w:rsidRPr="007E295F" w:rsidRDefault="00171895" w:rsidP="0053093A">
      <w:pPr>
        <w:ind w:left="708"/>
        <w:jc w:val="both"/>
        <w:rPr>
          <w:color w:val="000000" w:themeColor="text1"/>
        </w:rPr>
      </w:pPr>
      <w:r w:rsidRPr="007E295F">
        <w:rPr>
          <w:color w:val="000000" w:themeColor="text1"/>
        </w:rPr>
        <w:t>Cette expérience de recherche interroge</w:t>
      </w:r>
      <w:r w:rsidR="00154C6F" w:rsidRPr="007E295F">
        <w:rPr>
          <w:color w:val="000000" w:themeColor="text1"/>
        </w:rPr>
        <w:t xml:space="preserve"> ici, rétrospectivement, la pertinence de travailler sur des valeurs incarnées dans une charte (entendue comme un ensemble de principes constituants ou une éthique fondatrice partagée) sans qu’auparavant ait été éprouvé par chaque membre le travail en commun. En effet, l’auto-institution d’un collectif ne se décrète pas et le discours en la matière n’est pas assez performatif pour produire en soi le collectif. </w:t>
      </w:r>
      <w:r w:rsidR="009F1F14" w:rsidRPr="007E295F">
        <w:rPr>
          <w:color w:val="000000" w:themeColor="text1"/>
        </w:rPr>
        <w:t xml:space="preserve">Les vécus </w:t>
      </w:r>
      <w:r w:rsidR="00154C6F" w:rsidRPr="007E295F">
        <w:rPr>
          <w:color w:val="000000" w:themeColor="text1"/>
        </w:rPr>
        <w:t>des épreuves des activités en commun</w:t>
      </w:r>
      <w:r w:rsidR="009F1F14" w:rsidRPr="007E295F">
        <w:rPr>
          <w:color w:val="000000" w:themeColor="text1"/>
        </w:rPr>
        <w:t xml:space="preserve"> </w:t>
      </w:r>
      <w:r w:rsidR="00154C6F" w:rsidRPr="007E295F">
        <w:rPr>
          <w:color w:val="000000" w:themeColor="text1"/>
        </w:rPr>
        <w:t xml:space="preserve">semblent plus susceptibles de générer, par leur entremêlement et leur analyse pragmatiste, un cadre axiologique commun support à l’action collective. Toutefois, la charte ne permet-elle pas de constituer, dans ses principes, un ensemble de règles initiales nécessaire à tout collectif, notamment dans ses débuts ?   </w:t>
      </w:r>
    </w:p>
    <w:p w14:paraId="61291CE8" w14:textId="77777777" w:rsidR="00154C6F" w:rsidRPr="007E295F" w:rsidRDefault="00154C6F" w:rsidP="00E24E73">
      <w:pPr>
        <w:jc w:val="both"/>
        <w:rPr>
          <w:color w:val="000000" w:themeColor="text1"/>
        </w:rPr>
      </w:pPr>
    </w:p>
    <w:p w14:paraId="6E9F02EA" w14:textId="3E1D65F4" w:rsidR="000A585B" w:rsidRPr="007E295F" w:rsidRDefault="009F1F14" w:rsidP="00200B3E">
      <w:pPr>
        <w:pStyle w:val="Paragraphedeliste"/>
        <w:numPr>
          <w:ilvl w:val="0"/>
          <w:numId w:val="3"/>
        </w:numPr>
        <w:jc w:val="both"/>
        <w:rPr>
          <w:color w:val="000000" w:themeColor="text1"/>
        </w:rPr>
      </w:pPr>
      <w:r w:rsidRPr="007E295F">
        <w:rPr>
          <w:color w:val="000000" w:themeColor="text1"/>
        </w:rPr>
        <w:t>Le collectif comme espace de protection</w:t>
      </w:r>
    </w:p>
    <w:p w14:paraId="0146D0B8" w14:textId="3E8AF58B" w:rsidR="00154C6F" w:rsidRPr="007E295F" w:rsidRDefault="00154C6F" w:rsidP="00200B3E">
      <w:pPr>
        <w:ind w:left="708"/>
        <w:jc w:val="both"/>
        <w:rPr>
          <w:color w:val="000000" w:themeColor="text1"/>
        </w:rPr>
      </w:pPr>
      <w:r w:rsidRPr="007E295F">
        <w:rPr>
          <w:color w:val="000000" w:themeColor="text1"/>
        </w:rPr>
        <w:t>Un troisième mode d’engagement dans la recherche, traduisant une autre conception politique de celle-ci, a lui aussi été évoqué au cours de la recherche et posé une alternative aux deux autres approches. Ce mode d’engagement alternatif a fait l’objet d’une formalisation spécifique lors d’une réunion de recherche qui s’est déroulée début juillet 2020, durant laquelle l’un des membres du collectif PICOTE, avance l’idée qu’en ce qui le concerne ce sont les affinités électives et donc l’amitié qui motivent son engagement dans un groupe de travail et, notamment, celui-ci. Le rappel de cette prise de parole lors de la séance commune dédiée aux retours sur les situations troublées évoque aussitôt aux membres du groupe les multiples épisodes où le groupe a cultivé sa capacité à prendre soin de chacun de ses membres, à rendre manifeste la solidarité entre eux, mais aussi les moments informels (temps de repas, trajet en co-voiturage, partages d’expériences et d’histoires de vie, etc.) privilégiant la qualité des interconnaissances au-delà des stricts rôles professionnels. À l’évocation de ce souvenir, se reconstruisit pour chaque membre l’idée que le collectif posait les bases d’une solidarité de protection permettant l’émancipation de chacun d’un cadre universitaire commun dominé par les régulations publiques néolibérales. Cette idée revenait à considérer le « travail du commun » (Nicolas-Le Strat, 2016) comme vecteur de protection collective, dessinant un contexte accentuant les «</w:t>
      </w:r>
      <w:r w:rsidR="000A585B" w:rsidRPr="007E295F">
        <w:rPr>
          <w:color w:val="000000" w:themeColor="text1"/>
        </w:rPr>
        <w:t> </w:t>
      </w:r>
      <w:r w:rsidRPr="007E295F">
        <w:rPr>
          <w:color w:val="000000" w:themeColor="text1"/>
        </w:rPr>
        <w:t>pouvoirs d’agir » de chaque membre dans un environnement qui peut parfois sembler institutionnellement hostile.</w:t>
      </w:r>
    </w:p>
    <w:p w14:paraId="14C1E48F" w14:textId="77777777" w:rsidR="00154C6F" w:rsidRPr="007E295F" w:rsidRDefault="00154C6F" w:rsidP="00E24E73">
      <w:pPr>
        <w:jc w:val="both"/>
        <w:rPr>
          <w:color w:val="000000" w:themeColor="text1"/>
        </w:rPr>
      </w:pPr>
    </w:p>
    <w:p w14:paraId="6D6A00E3" w14:textId="06B54961" w:rsidR="00154C6F" w:rsidRPr="007E295F" w:rsidRDefault="00154C6F" w:rsidP="00E24E73">
      <w:pPr>
        <w:jc w:val="both"/>
        <w:rPr>
          <w:color w:val="000000" w:themeColor="text1"/>
        </w:rPr>
      </w:pPr>
      <w:r w:rsidRPr="007E295F">
        <w:rPr>
          <w:color w:val="000000" w:themeColor="text1"/>
        </w:rPr>
        <w:t xml:space="preserve">Quel mode d’engagement de la recherche-action a dès lors été opérant et structurant ? Il convient de souligner dès à présent que tous trois ont fonctionné lors du déploiement de la recherche </w:t>
      </w:r>
      <w:r w:rsidR="00200B3E" w:rsidRPr="007E295F">
        <w:rPr>
          <w:color w:val="000000" w:themeColor="text1"/>
        </w:rPr>
        <w:t>T2I</w:t>
      </w:r>
      <w:r w:rsidRPr="007E295F">
        <w:rPr>
          <w:color w:val="000000" w:themeColor="text1"/>
        </w:rPr>
        <w:t>. Pour reprendre ici une conception de l’action ordinaire</w:t>
      </w:r>
      <w:r w:rsidR="00F94EB1" w:rsidRPr="007E295F">
        <w:rPr>
          <w:color w:val="000000" w:themeColor="text1"/>
        </w:rPr>
        <w:t xml:space="preserve"> proposée par Bruno Latour (2005/2007</w:t>
      </w:r>
      <w:r w:rsidRPr="007E295F">
        <w:rPr>
          <w:color w:val="000000" w:themeColor="text1"/>
        </w:rPr>
        <w:t xml:space="preserve">, p. 75), les acteurs sociaux ont toujours </w:t>
      </w:r>
      <w:r w:rsidR="00F94EB1" w:rsidRPr="007E295F">
        <w:rPr>
          <w:color w:val="000000" w:themeColor="text1"/>
        </w:rPr>
        <w:t>« </w:t>
      </w:r>
      <w:r w:rsidRPr="007E295F">
        <w:rPr>
          <w:color w:val="000000" w:themeColor="text1"/>
        </w:rPr>
        <w:t>plusieurs philosophies au feu</w:t>
      </w:r>
      <w:r w:rsidR="00F94EB1" w:rsidRPr="007E295F">
        <w:rPr>
          <w:color w:val="000000" w:themeColor="text1"/>
        </w:rPr>
        <w:t> »</w:t>
      </w:r>
      <w:r w:rsidRPr="007E295F">
        <w:rPr>
          <w:color w:val="000000" w:themeColor="text1"/>
        </w:rPr>
        <w:t>, à savoir s’engagent pratiquement en suivant des logiques d’action variables tenant compte de la variation des situations et des contextes. C’est notamment le temps disponible qui a favorisé ou empêché l’adoption d’un mode d’engagement dans la recherche. La charte n’a pas été adoptée. Toutefois, sa présence symbolique et les échanges auxquels elle a donné lieu ont été constamment présents en arrière-plan de notre engagement. Pour indice fort, l’inaboutissement de la démarche a été régulièrement interrogée durant le temps du projet et même après. Les travaux en analyse de l’activité permettent de comprendre cette situation paradoxale : Yves Clot (1999) précise ainsi que le réalisé n’a pas le monopole du réel et que celui-ci est riche des activités possibles non réalisées qui pèsent finalement sur la manière dont le réalisé se déploie. En d’autres termes, le réalisé ne serait jamais à analyser indépendamment des actions réalisables et à réaliser, mais aussi des futurs désirables.</w:t>
      </w:r>
    </w:p>
    <w:p w14:paraId="64253B56" w14:textId="77777777" w:rsidR="00187CD5" w:rsidRPr="007E295F" w:rsidRDefault="00187CD5" w:rsidP="00E24E73">
      <w:pPr>
        <w:jc w:val="both"/>
        <w:rPr>
          <w:color w:val="000000" w:themeColor="text1"/>
        </w:rPr>
      </w:pPr>
    </w:p>
    <w:p w14:paraId="1F593DFE" w14:textId="4098BF5D" w:rsidR="00154C6F" w:rsidRPr="007E295F" w:rsidRDefault="00154C6F" w:rsidP="00E24E73">
      <w:pPr>
        <w:jc w:val="both"/>
        <w:rPr>
          <w:color w:val="000000" w:themeColor="text1"/>
        </w:rPr>
      </w:pPr>
      <w:r w:rsidRPr="007E295F">
        <w:rPr>
          <w:color w:val="000000" w:themeColor="text1"/>
        </w:rPr>
        <w:t xml:space="preserve">Comment opère </w:t>
      </w:r>
      <w:r w:rsidRPr="007E295F">
        <w:rPr>
          <w:i/>
          <w:color w:val="000000" w:themeColor="text1"/>
        </w:rPr>
        <w:t>in fine</w:t>
      </w:r>
      <w:r w:rsidRPr="007E295F">
        <w:rPr>
          <w:color w:val="000000" w:themeColor="text1"/>
        </w:rPr>
        <w:t xml:space="preserve"> le groupe aux confins de ce triple mode d’engagement de et dans la recherche ? Question d’autant plus importante à éclairer que nous faisons l’hypothèse que la production scientifique est dépendante des dimensions politiques de la recherche effectivement mises en œuvre. Un éclairage incluant la question de la temporalité permet de saisir en partie la dynamique à l’œuvre, à condition d’envisager le fonctionnement de PICOTE au-delà du projet </w:t>
      </w:r>
      <w:r w:rsidR="00200B3E" w:rsidRPr="007E295F">
        <w:rPr>
          <w:color w:val="000000" w:themeColor="text1"/>
        </w:rPr>
        <w:t>T2I</w:t>
      </w:r>
      <w:r w:rsidRPr="007E295F">
        <w:rPr>
          <w:color w:val="000000" w:themeColor="text1"/>
        </w:rPr>
        <w:t xml:space="preserve">. Cette dynamique peut être saisie à travers l’émergence d’une « politique de l’amitié » comme principe de régulation. Comme le précise Jacques Derrida, « L’engagement dans l’amitié prend du temps, il donne le temps parce qu’il anticipe. Il donne et prend du temps parce qu’il survit au présent vivant ». Car l’amitié est cette activité qui suppose « le passage par l’épreuve d’une difficulté qui prend du temps » (1994, p. 32), le temps de ce qui est à réfléchir et à délibérer, le boisseau de sel qui est à partager et qui, à terme, conduit à une stabilité qui n’est pas celle du calculable mais celle de la confiance. Si dans les faits, c’est donc une approche pragmatique qui a principalement fonctionné lors de cette première expérience de recherche, ce sont bien les linéaments d’une politique de l’amitié que cette première rencontre vise à cultiver afin de constituer un espace de travail suffisamment puissant – en résonnance avec notre conception d’un territoire capacitant – pour venir interroger de manière critique le modèle </w:t>
      </w:r>
      <w:proofErr w:type="spellStart"/>
      <w:r w:rsidRPr="007E295F">
        <w:rPr>
          <w:color w:val="000000" w:themeColor="text1"/>
        </w:rPr>
        <w:t>extractiviste</w:t>
      </w:r>
      <w:proofErr w:type="spellEnd"/>
      <w:r w:rsidRPr="007E295F">
        <w:rPr>
          <w:color w:val="000000" w:themeColor="text1"/>
        </w:rPr>
        <w:t xml:space="preserve"> de recherche obéissant aux logiques calculatoires aujourd’hui dominantes, situé dans la filiation politique d’une conception néolibérale du faire société. En cela, ce retour sur les vécus de la recherche et la poursuite de nos enquêtes (au sens de Dewey) permet aujourd’hui de mieux préciser no</w:t>
      </w:r>
      <w:r w:rsidR="00171895" w:rsidRPr="007E295F">
        <w:rPr>
          <w:color w:val="000000" w:themeColor="text1"/>
        </w:rPr>
        <w:t>tre ambition politique pour la R</w:t>
      </w:r>
      <w:r w:rsidRPr="007E295F">
        <w:rPr>
          <w:color w:val="000000" w:themeColor="text1"/>
        </w:rPr>
        <w:t>echerche et explorer de manière plus aiguisée ses ressources et limites.</w:t>
      </w:r>
    </w:p>
    <w:p w14:paraId="3DABEBC7" w14:textId="77777777" w:rsidR="008B5A45" w:rsidRPr="007E295F" w:rsidRDefault="008B5A45" w:rsidP="00E24E73">
      <w:pPr>
        <w:jc w:val="both"/>
        <w:rPr>
          <w:color w:val="000000" w:themeColor="text1"/>
        </w:rPr>
      </w:pPr>
    </w:p>
    <w:p w14:paraId="0780F51B" w14:textId="77777777" w:rsidR="008B5A45" w:rsidRPr="007E295F" w:rsidRDefault="00537ADE" w:rsidP="00E24E73">
      <w:pPr>
        <w:pStyle w:val="Paragraphedeliste"/>
        <w:numPr>
          <w:ilvl w:val="0"/>
          <w:numId w:val="1"/>
        </w:numPr>
        <w:jc w:val="both"/>
        <w:rPr>
          <w:color w:val="000000" w:themeColor="text1"/>
        </w:rPr>
      </w:pPr>
      <w:r w:rsidRPr="007E295F">
        <w:rPr>
          <w:color w:val="000000" w:themeColor="text1"/>
        </w:rPr>
        <w:t xml:space="preserve">La recherche-action : question de temporalité et qualité des associations </w:t>
      </w:r>
    </w:p>
    <w:p w14:paraId="7947CF0B" w14:textId="77777777" w:rsidR="00154C6F" w:rsidRPr="007E295F" w:rsidRDefault="00154C6F" w:rsidP="00E24E73">
      <w:pPr>
        <w:jc w:val="both"/>
        <w:rPr>
          <w:color w:val="000000" w:themeColor="text1"/>
        </w:rPr>
      </w:pPr>
    </w:p>
    <w:p w14:paraId="52DEC8B7" w14:textId="4CD9E288" w:rsidR="00221587" w:rsidRDefault="00152214" w:rsidP="00152214">
      <w:pPr>
        <w:jc w:val="both"/>
        <w:rPr>
          <w:color w:val="000000" w:themeColor="text1"/>
        </w:rPr>
      </w:pPr>
      <w:r w:rsidRPr="007E295F">
        <w:rPr>
          <w:color w:val="000000" w:themeColor="text1"/>
        </w:rPr>
        <w:t>Au regard de la diversité des approches proposées s’inscrivant dans l’idée g</w:t>
      </w:r>
      <w:r w:rsidR="00221587" w:rsidRPr="007E295F">
        <w:rPr>
          <w:color w:val="000000" w:themeColor="text1"/>
        </w:rPr>
        <w:t xml:space="preserve">énérale de la recherche-action, aujourd’hui </w:t>
      </w:r>
      <w:r w:rsidRPr="007E295F">
        <w:rPr>
          <w:color w:val="000000" w:themeColor="text1"/>
        </w:rPr>
        <w:t xml:space="preserve">largement documentée et </w:t>
      </w:r>
      <w:r w:rsidR="00221587" w:rsidRPr="007E295F">
        <w:rPr>
          <w:color w:val="000000" w:themeColor="text1"/>
        </w:rPr>
        <w:t xml:space="preserve">signalant </w:t>
      </w:r>
      <w:r w:rsidRPr="007E295F">
        <w:rPr>
          <w:color w:val="000000" w:themeColor="text1"/>
        </w:rPr>
        <w:t xml:space="preserve">les processus </w:t>
      </w:r>
      <w:r w:rsidR="00221587" w:rsidRPr="007E295F">
        <w:rPr>
          <w:color w:val="000000" w:themeColor="text1"/>
        </w:rPr>
        <w:t xml:space="preserve">différenciés </w:t>
      </w:r>
      <w:r w:rsidRPr="007E295F">
        <w:rPr>
          <w:color w:val="000000" w:themeColor="text1"/>
        </w:rPr>
        <w:t>d’association entre acteurs et chercheurs</w:t>
      </w:r>
      <w:r w:rsidR="00221587" w:rsidRPr="007E295F">
        <w:rPr>
          <w:color w:val="000000" w:themeColor="text1"/>
        </w:rPr>
        <w:t>, n</w:t>
      </w:r>
      <w:r w:rsidRPr="007E295F">
        <w:rPr>
          <w:color w:val="000000" w:themeColor="text1"/>
        </w:rPr>
        <w:t>ous proposons ici un</w:t>
      </w:r>
      <w:r w:rsidR="00221587" w:rsidRPr="007E295F">
        <w:rPr>
          <w:color w:val="000000" w:themeColor="text1"/>
        </w:rPr>
        <w:t xml:space="preserve">e autre grille de lecture qui </w:t>
      </w:r>
      <w:r w:rsidRPr="007E295F">
        <w:rPr>
          <w:color w:val="000000" w:themeColor="text1"/>
        </w:rPr>
        <w:t xml:space="preserve">aborde </w:t>
      </w:r>
      <w:r w:rsidR="00221587" w:rsidRPr="007E295F">
        <w:rPr>
          <w:color w:val="000000" w:themeColor="text1"/>
        </w:rPr>
        <w:t xml:space="preserve">ce type de recherche </w:t>
      </w:r>
      <w:r w:rsidRPr="007E295F">
        <w:rPr>
          <w:color w:val="000000" w:themeColor="text1"/>
        </w:rPr>
        <w:t xml:space="preserve">en fonction de </w:t>
      </w:r>
      <w:r w:rsidR="00221587" w:rsidRPr="007E295F">
        <w:rPr>
          <w:color w:val="000000" w:themeColor="text1"/>
        </w:rPr>
        <w:t>deux critères discriminants selon nous :</w:t>
      </w:r>
    </w:p>
    <w:p w14:paraId="5DD452EC" w14:textId="77777777" w:rsidR="00551606" w:rsidRPr="007E295F" w:rsidRDefault="00551606" w:rsidP="00152214">
      <w:pPr>
        <w:jc w:val="both"/>
        <w:rPr>
          <w:color w:val="000000" w:themeColor="text1"/>
        </w:rPr>
      </w:pPr>
    </w:p>
    <w:p w14:paraId="47C6E7BA" w14:textId="357E0792" w:rsidR="00221587" w:rsidRDefault="00152214" w:rsidP="00221587">
      <w:pPr>
        <w:pStyle w:val="Paragraphedeliste"/>
        <w:numPr>
          <w:ilvl w:val="0"/>
          <w:numId w:val="2"/>
        </w:numPr>
        <w:jc w:val="both"/>
        <w:rPr>
          <w:color w:val="000000" w:themeColor="text1"/>
        </w:rPr>
      </w:pPr>
      <w:proofErr w:type="gramStart"/>
      <w:r w:rsidRPr="007E295F">
        <w:rPr>
          <w:color w:val="000000" w:themeColor="text1"/>
        </w:rPr>
        <w:t>la</w:t>
      </w:r>
      <w:proofErr w:type="gramEnd"/>
      <w:r w:rsidRPr="007E295F">
        <w:rPr>
          <w:color w:val="000000" w:themeColor="text1"/>
        </w:rPr>
        <w:t xml:space="preserve"> distance plus ou moins grande qui sépare le chercheur du « terrain »</w:t>
      </w:r>
      <w:r w:rsidR="00187CD5" w:rsidRPr="007E295F">
        <w:rPr>
          <w:color w:val="000000" w:themeColor="text1"/>
        </w:rPr>
        <w:t xml:space="preserve"> ou, dit autrement, l’attachement du ou des chercheurs à l’action en train de se faire et dans laquelle ils ou elles s’impliquent.</w:t>
      </w:r>
      <w:r w:rsidR="000C604F" w:rsidRPr="007E295F">
        <w:rPr>
          <w:color w:val="000000" w:themeColor="text1"/>
        </w:rPr>
        <w:t xml:space="preserve"> Dans le terme de « distance » au « terrain », se noue un enjeu crucial, celui se savoir à quel point le ou la </w:t>
      </w:r>
      <w:proofErr w:type="spellStart"/>
      <w:proofErr w:type="gramStart"/>
      <w:r w:rsidR="000C604F" w:rsidRPr="007E295F">
        <w:rPr>
          <w:color w:val="000000" w:themeColor="text1"/>
        </w:rPr>
        <w:t>chercheur.e</w:t>
      </w:r>
      <w:proofErr w:type="spellEnd"/>
      <w:proofErr w:type="gramEnd"/>
      <w:r w:rsidR="000C604F" w:rsidRPr="007E295F">
        <w:rPr>
          <w:color w:val="000000" w:themeColor="text1"/>
        </w:rPr>
        <w:t xml:space="preserve"> partage, sur le plan axiologique, la </w:t>
      </w:r>
      <w:r w:rsidR="000C604F" w:rsidRPr="007E295F">
        <w:rPr>
          <w:color w:val="000000" w:themeColor="text1"/>
        </w:rPr>
        <w:lastRenderedPageBreak/>
        <w:t>finalité poursuivie par les acteurs du terrain. Sur ce point, l’engagement en recherche participe d’une transformation durable des pratiques.</w:t>
      </w:r>
    </w:p>
    <w:p w14:paraId="3EF52BBA" w14:textId="77777777" w:rsidR="00551606" w:rsidRPr="007E295F" w:rsidRDefault="00551606" w:rsidP="00551606">
      <w:pPr>
        <w:pStyle w:val="Paragraphedeliste"/>
        <w:jc w:val="both"/>
        <w:rPr>
          <w:color w:val="000000" w:themeColor="text1"/>
        </w:rPr>
      </w:pPr>
    </w:p>
    <w:p w14:paraId="34B49CD8" w14:textId="77777777" w:rsidR="00221587" w:rsidRPr="007E295F" w:rsidRDefault="00152214" w:rsidP="00221587">
      <w:pPr>
        <w:pStyle w:val="Paragraphedeliste"/>
        <w:numPr>
          <w:ilvl w:val="0"/>
          <w:numId w:val="2"/>
        </w:numPr>
        <w:jc w:val="both"/>
        <w:rPr>
          <w:color w:val="000000" w:themeColor="text1"/>
        </w:rPr>
      </w:pPr>
      <w:proofErr w:type="gramStart"/>
      <w:r w:rsidRPr="007E295F">
        <w:rPr>
          <w:color w:val="000000" w:themeColor="text1"/>
        </w:rPr>
        <w:t>la</w:t>
      </w:r>
      <w:proofErr w:type="gramEnd"/>
      <w:r w:rsidRPr="007E295F">
        <w:rPr>
          <w:color w:val="000000" w:themeColor="text1"/>
        </w:rPr>
        <w:t xml:space="preserve"> temporalité partagée de l’enquête, c’est-à-dire du temps passé par les différentes personnes engagées dans la démarche (professionnels de la recherche compris) à la conception commune de l’objet, de la question évolutive de recherche, de la manière d’en rendre compte à partir des données et d’interpréter des résultats dans un sens qui ne peut être univoque et totalement stabilisé. </w:t>
      </w:r>
    </w:p>
    <w:p w14:paraId="67128735" w14:textId="77777777" w:rsidR="00551606" w:rsidRDefault="00551606" w:rsidP="00221587">
      <w:pPr>
        <w:jc w:val="both"/>
        <w:rPr>
          <w:color w:val="000000" w:themeColor="text1"/>
        </w:rPr>
      </w:pPr>
    </w:p>
    <w:p w14:paraId="0FF1CEE2" w14:textId="47C4E1AD" w:rsidR="00152214" w:rsidRPr="007E295F" w:rsidRDefault="00152214" w:rsidP="00221587">
      <w:pPr>
        <w:jc w:val="both"/>
        <w:rPr>
          <w:color w:val="000000" w:themeColor="text1"/>
        </w:rPr>
      </w:pPr>
      <w:r w:rsidRPr="007E295F">
        <w:rPr>
          <w:color w:val="000000" w:themeColor="text1"/>
        </w:rPr>
        <w:t>Ainsi, que les recherches-action soient collaboratives, coopératives, éthiques, impliquées, embarquées</w:t>
      </w:r>
      <w:r w:rsidR="000C604F" w:rsidRPr="007E295F">
        <w:rPr>
          <w:color w:val="000000" w:themeColor="text1"/>
        </w:rPr>
        <w:t>, participatives</w:t>
      </w:r>
      <w:r w:rsidRPr="007E295F">
        <w:rPr>
          <w:color w:val="000000" w:themeColor="text1"/>
        </w:rPr>
        <w:t xml:space="preserve"> ou encore en recherche-intervention (tous ces termes accolés au terme recherche-action étant à la mode actuellement), c’est surtout ce double item, celui de la distance à l’action et celui de la temporalité qui </w:t>
      </w:r>
      <w:r w:rsidR="00187CD5" w:rsidRPr="007E295F">
        <w:rPr>
          <w:color w:val="000000" w:themeColor="text1"/>
        </w:rPr>
        <w:t xml:space="preserve">semble caractériser </w:t>
      </w:r>
      <w:r w:rsidRPr="007E295F">
        <w:rPr>
          <w:color w:val="000000" w:themeColor="text1"/>
        </w:rPr>
        <w:t>la plus ou moins grande puissance heuristique des pratiques d’enquête en recherche-action.</w:t>
      </w:r>
    </w:p>
    <w:p w14:paraId="4A9A615C" w14:textId="77777777" w:rsidR="00152214" w:rsidRPr="007E295F" w:rsidRDefault="00152214" w:rsidP="00152214">
      <w:pPr>
        <w:jc w:val="both"/>
        <w:rPr>
          <w:color w:val="000000" w:themeColor="text1"/>
        </w:rPr>
      </w:pPr>
    </w:p>
    <w:p w14:paraId="521FCF27" w14:textId="30E804BC" w:rsidR="00154C6F" w:rsidRPr="007E295F" w:rsidRDefault="00152214" w:rsidP="00E24E73">
      <w:pPr>
        <w:jc w:val="both"/>
        <w:rPr>
          <w:color w:val="000000" w:themeColor="text1"/>
        </w:rPr>
      </w:pPr>
      <w:r w:rsidRPr="007E295F">
        <w:rPr>
          <w:color w:val="000000" w:themeColor="text1"/>
        </w:rPr>
        <w:t xml:space="preserve">En ce qui concerne l’opérationnalisation de la recherche-action </w:t>
      </w:r>
      <w:r w:rsidR="00200B3E" w:rsidRPr="007E295F">
        <w:rPr>
          <w:color w:val="000000" w:themeColor="text1"/>
        </w:rPr>
        <w:t>T2I</w:t>
      </w:r>
      <w:r w:rsidRPr="007E295F">
        <w:rPr>
          <w:color w:val="000000" w:themeColor="text1"/>
        </w:rPr>
        <w:t xml:space="preserve">, cette dernière a ambitionné de </w:t>
      </w:r>
      <w:r w:rsidR="00221587" w:rsidRPr="007E295F">
        <w:rPr>
          <w:color w:val="000000" w:themeColor="text1"/>
        </w:rPr>
        <w:t xml:space="preserve">donner lieu à </w:t>
      </w:r>
      <w:r w:rsidRPr="007E295F">
        <w:rPr>
          <w:color w:val="000000" w:themeColor="text1"/>
        </w:rPr>
        <w:t xml:space="preserve">une réelle coopération entre chercheurs et praticiens dans la co-construction de l’objet et la collecte de données. Or, la réalisation concrète de la recherche-action sur </w:t>
      </w:r>
      <w:r w:rsidR="00221587" w:rsidRPr="007E295F">
        <w:rPr>
          <w:color w:val="000000" w:themeColor="text1"/>
        </w:rPr>
        <w:t>le</w:t>
      </w:r>
      <w:r w:rsidRPr="007E295F">
        <w:rPr>
          <w:color w:val="000000" w:themeColor="text1"/>
        </w:rPr>
        <w:t xml:space="preserve"> temps court </w:t>
      </w:r>
      <w:r w:rsidR="00221587" w:rsidRPr="007E295F">
        <w:rPr>
          <w:color w:val="000000" w:themeColor="text1"/>
        </w:rPr>
        <w:t xml:space="preserve">qui était le nôtre </w:t>
      </w:r>
      <w:r w:rsidRPr="007E295F">
        <w:rPr>
          <w:color w:val="000000" w:themeColor="text1"/>
        </w:rPr>
        <w:t xml:space="preserve">la rapproche à plus d’un titre </w:t>
      </w:r>
      <w:r w:rsidR="00221587" w:rsidRPr="007E295F">
        <w:rPr>
          <w:color w:val="000000" w:themeColor="text1"/>
        </w:rPr>
        <w:t>d’une</w:t>
      </w:r>
      <w:r w:rsidRPr="007E295F">
        <w:rPr>
          <w:color w:val="000000" w:themeColor="text1"/>
        </w:rPr>
        <w:t xml:space="preserve"> forme de recherche-action </w:t>
      </w:r>
      <w:r w:rsidR="00221587" w:rsidRPr="007E295F">
        <w:rPr>
          <w:color w:val="000000" w:themeColor="text1"/>
        </w:rPr>
        <w:t xml:space="preserve">s’apparentant à </w:t>
      </w:r>
      <w:r w:rsidRPr="007E295F">
        <w:rPr>
          <w:color w:val="000000" w:themeColor="text1"/>
        </w:rPr>
        <w:t>une coordination entre un comité de pilotage décidé en amont et les terrains enquêtés couplés à la négo</w:t>
      </w:r>
      <w:r w:rsidR="00221587" w:rsidRPr="007E295F">
        <w:rPr>
          <w:color w:val="000000" w:themeColor="text1"/>
        </w:rPr>
        <w:t xml:space="preserve">ciation d’un objet de recherche. </w:t>
      </w:r>
      <w:proofErr w:type="gramStart"/>
      <w:r w:rsidR="00221587" w:rsidRPr="007E295F">
        <w:rPr>
          <w:color w:val="000000" w:themeColor="text1"/>
        </w:rPr>
        <w:t>Au final</w:t>
      </w:r>
      <w:proofErr w:type="gramEnd"/>
      <w:r w:rsidR="00221587" w:rsidRPr="007E295F">
        <w:rPr>
          <w:color w:val="000000" w:themeColor="text1"/>
        </w:rPr>
        <w:t>, les associations entre les différents acteurs impliqués dans la recherche sont restées assez fragiles</w:t>
      </w:r>
      <w:r w:rsidRPr="007E295F">
        <w:rPr>
          <w:color w:val="000000" w:themeColor="text1"/>
        </w:rPr>
        <w:t xml:space="preserve"> </w:t>
      </w:r>
      <w:r w:rsidR="008A05F7" w:rsidRPr="007E295F">
        <w:rPr>
          <w:color w:val="000000" w:themeColor="text1"/>
        </w:rPr>
        <w:t>pour ce qui concerne les personnes percevant le RSA ou les professionnels sur les territoires, l</w:t>
      </w:r>
      <w:r w:rsidR="00221587" w:rsidRPr="007E295F">
        <w:rPr>
          <w:color w:val="000000" w:themeColor="text1"/>
        </w:rPr>
        <w:t>es relations établies</w:t>
      </w:r>
      <w:r w:rsidRPr="007E295F">
        <w:rPr>
          <w:color w:val="000000" w:themeColor="text1"/>
        </w:rPr>
        <w:t xml:space="preserve"> avec le porteur du projet pour le CD et l’ensemble des membres du collectif de recherche, accompagné d’un grand-témoin (coordinateur d’un réseau de l’insertion par l’activité économique) et d’une stagiaire de master</w:t>
      </w:r>
      <w:r w:rsidR="008A05F7" w:rsidRPr="007E295F">
        <w:rPr>
          <w:color w:val="000000" w:themeColor="text1"/>
        </w:rPr>
        <w:t xml:space="preserve"> ayant été plus structurantes et opérantes</w:t>
      </w:r>
      <w:r w:rsidRPr="007E295F">
        <w:rPr>
          <w:color w:val="000000" w:themeColor="text1"/>
        </w:rPr>
        <w:t xml:space="preserve">. Une recherche-action menée avec et pour un acteur public </w:t>
      </w:r>
      <w:r w:rsidR="00A242BD" w:rsidRPr="007E295F">
        <w:rPr>
          <w:color w:val="000000" w:themeColor="text1"/>
        </w:rPr>
        <w:t>reste de ce point de vue</w:t>
      </w:r>
      <w:r w:rsidRPr="007E295F">
        <w:rPr>
          <w:color w:val="000000" w:themeColor="text1"/>
        </w:rPr>
        <w:t xml:space="preserve"> singulière puisqu’elle prend le risque d’être soumise aux temporalités de la politique publique au détriment de la co-construction de la planification et des données de recherche avec toutes les personnes associées à l’action.</w:t>
      </w:r>
      <w:r w:rsidR="00221587" w:rsidRPr="007E295F">
        <w:rPr>
          <w:color w:val="000000" w:themeColor="text1"/>
        </w:rPr>
        <w:t xml:space="preserve"> C’est principalement ce qui ressort de la recherche </w:t>
      </w:r>
      <w:r w:rsidR="00200B3E" w:rsidRPr="007E295F">
        <w:rPr>
          <w:color w:val="000000" w:themeColor="text1"/>
        </w:rPr>
        <w:t>T2I</w:t>
      </w:r>
      <w:r w:rsidR="00221587" w:rsidRPr="007E295F">
        <w:rPr>
          <w:color w:val="000000" w:themeColor="text1"/>
        </w:rPr>
        <w:t xml:space="preserve">, même si la qualité des relations tissées, liée notamment à la sécurisation et l’écoute effective </w:t>
      </w:r>
      <w:r w:rsidR="008A05F7" w:rsidRPr="007E295F">
        <w:rPr>
          <w:color w:val="000000" w:themeColor="text1"/>
        </w:rPr>
        <w:t>dans le</w:t>
      </w:r>
      <w:r w:rsidR="00221587" w:rsidRPr="007E295F">
        <w:rPr>
          <w:color w:val="000000" w:themeColor="text1"/>
        </w:rPr>
        <w:t>s espaces d’échange avec les différents acteurs</w:t>
      </w:r>
      <w:r w:rsidR="008A05F7" w:rsidRPr="007E295F">
        <w:rPr>
          <w:color w:val="000000" w:themeColor="text1"/>
        </w:rPr>
        <w:t>,</w:t>
      </w:r>
      <w:r w:rsidR="00221587" w:rsidRPr="007E295F">
        <w:rPr>
          <w:color w:val="000000" w:themeColor="text1"/>
        </w:rPr>
        <w:t xml:space="preserve"> est de nature à relativiser cette orientation générale. </w:t>
      </w:r>
    </w:p>
    <w:p w14:paraId="295AE0AA" w14:textId="77777777" w:rsidR="00537ADE" w:rsidRPr="007E295F" w:rsidRDefault="00537ADE" w:rsidP="00E24E73">
      <w:pPr>
        <w:pStyle w:val="Paragraphedeliste"/>
        <w:jc w:val="both"/>
        <w:rPr>
          <w:color w:val="000000" w:themeColor="text1"/>
        </w:rPr>
      </w:pPr>
    </w:p>
    <w:p w14:paraId="1E6996E7" w14:textId="77777777" w:rsidR="00537ADE" w:rsidRPr="007E295F" w:rsidRDefault="00537ADE" w:rsidP="00E24E73">
      <w:pPr>
        <w:pStyle w:val="Paragraphedeliste"/>
        <w:numPr>
          <w:ilvl w:val="0"/>
          <w:numId w:val="1"/>
        </w:numPr>
        <w:jc w:val="both"/>
        <w:rPr>
          <w:color w:val="000000" w:themeColor="text1"/>
        </w:rPr>
      </w:pPr>
      <w:r w:rsidRPr="007E295F">
        <w:rPr>
          <w:color w:val="000000" w:themeColor="text1"/>
        </w:rPr>
        <w:t>Recherche-action et décision politique</w:t>
      </w:r>
    </w:p>
    <w:p w14:paraId="53CED7C9" w14:textId="77777777" w:rsidR="00283AA5" w:rsidRPr="007E295F" w:rsidRDefault="00283AA5" w:rsidP="00E24E73">
      <w:pPr>
        <w:jc w:val="both"/>
        <w:rPr>
          <w:color w:val="000000" w:themeColor="text1"/>
        </w:rPr>
      </w:pPr>
    </w:p>
    <w:p w14:paraId="413918E1" w14:textId="2C2E301D" w:rsidR="00283AA5" w:rsidRPr="007E295F" w:rsidRDefault="00171895" w:rsidP="00E24E73">
      <w:pPr>
        <w:jc w:val="both"/>
        <w:rPr>
          <w:color w:val="000000" w:themeColor="text1"/>
          <w:shd w:val="clear" w:color="auto" w:fill="FFFFFF"/>
        </w:rPr>
      </w:pPr>
      <w:r w:rsidRPr="007E295F">
        <w:rPr>
          <w:color w:val="000000" w:themeColor="text1"/>
          <w:shd w:val="clear" w:color="auto" w:fill="FFFFFF"/>
        </w:rPr>
        <w:t>A la suite de cette première collaboration, l</w:t>
      </w:r>
      <w:r w:rsidR="00283AA5" w:rsidRPr="007E295F">
        <w:rPr>
          <w:color w:val="000000" w:themeColor="text1"/>
          <w:shd w:val="clear" w:color="auto" w:fill="FFFFFF"/>
        </w:rPr>
        <w:t xml:space="preserve">a recherche </w:t>
      </w:r>
      <w:r w:rsidR="00200B3E" w:rsidRPr="007E295F">
        <w:rPr>
          <w:color w:val="000000" w:themeColor="text1"/>
          <w:shd w:val="clear" w:color="auto" w:fill="FFFFFF"/>
        </w:rPr>
        <w:t>T2I</w:t>
      </w:r>
      <w:r w:rsidR="00283AA5" w:rsidRPr="007E295F">
        <w:rPr>
          <w:color w:val="000000" w:themeColor="text1"/>
          <w:shd w:val="clear" w:color="auto" w:fill="FFFFFF"/>
        </w:rPr>
        <w:t xml:space="preserve"> a</w:t>
      </w:r>
      <w:r w:rsidRPr="007E295F">
        <w:rPr>
          <w:color w:val="000000" w:themeColor="text1"/>
          <w:shd w:val="clear" w:color="auto" w:fill="FFFFFF"/>
        </w:rPr>
        <w:t>vait</w:t>
      </w:r>
      <w:r w:rsidR="00283AA5" w:rsidRPr="007E295F">
        <w:rPr>
          <w:color w:val="000000" w:themeColor="text1"/>
          <w:shd w:val="clear" w:color="auto" w:fill="FFFFFF"/>
        </w:rPr>
        <w:t xml:space="preserve"> vocation à poser les jalons d’une recherche-action plus longue </w:t>
      </w:r>
      <w:r w:rsidRPr="007E295F">
        <w:rPr>
          <w:color w:val="000000" w:themeColor="text1"/>
          <w:shd w:val="clear" w:color="auto" w:fill="FFFFFF"/>
        </w:rPr>
        <w:t xml:space="preserve">avec le CD. </w:t>
      </w:r>
      <w:r w:rsidR="00283AA5" w:rsidRPr="007E295F">
        <w:rPr>
          <w:color w:val="000000" w:themeColor="text1"/>
          <w:shd w:val="clear" w:color="auto" w:fill="FFFFFF"/>
        </w:rPr>
        <w:t>D’un point de vue opératoire, l’exposition des premiers résultats de la recherche a</w:t>
      </w:r>
      <w:r w:rsidR="00CD28ED" w:rsidRPr="007E295F">
        <w:rPr>
          <w:color w:val="000000" w:themeColor="text1"/>
          <w:shd w:val="clear" w:color="auto" w:fill="FFFFFF"/>
        </w:rPr>
        <w:t>vait</w:t>
      </w:r>
      <w:r w:rsidR="00283AA5" w:rsidRPr="007E295F">
        <w:rPr>
          <w:color w:val="000000" w:themeColor="text1"/>
          <w:shd w:val="clear" w:color="auto" w:fill="FFFFFF"/>
        </w:rPr>
        <w:t xml:space="preserve"> vocation à soutenir et orienter cette collaboration sur le temps long nécessaire au développement d’une recherche-action au sens où nous l’entendons</w:t>
      </w:r>
      <w:r w:rsidR="00A242BD" w:rsidRPr="007E295F">
        <w:rPr>
          <w:color w:val="000000" w:themeColor="text1"/>
          <w:shd w:val="clear" w:color="auto" w:fill="FFFFFF"/>
        </w:rPr>
        <w:t>, c’est-à-dire dans un sens régénératif et/ou transformatif</w:t>
      </w:r>
      <w:r w:rsidR="00283AA5" w:rsidRPr="007E295F">
        <w:rPr>
          <w:color w:val="000000" w:themeColor="text1"/>
          <w:shd w:val="clear" w:color="auto" w:fill="FFFFFF"/>
        </w:rPr>
        <w:t xml:space="preserve">. Si tout au long de l’action </w:t>
      </w:r>
      <w:r w:rsidR="00200B3E" w:rsidRPr="007E295F">
        <w:rPr>
          <w:color w:val="000000" w:themeColor="text1"/>
          <w:shd w:val="clear" w:color="auto" w:fill="FFFFFF"/>
        </w:rPr>
        <w:t>T2I</w:t>
      </w:r>
      <w:r w:rsidR="00283AA5" w:rsidRPr="007E295F">
        <w:rPr>
          <w:color w:val="000000" w:themeColor="text1"/>
          <w:shd w:val="clear" w:color="auto" w:fill="FFFFFF"/>
        </w:rPr>
        <w:t xml:space="preserve">, les négociations se sont réalisées à l’échelle des directions des services départementaux, c’est bien au niveau de la fonction politique que porte l’élue qui assure la présidence du CD que la décision quant à la poursuite du projet doit être prise. Il s’agit ici d’un enjeu qui resta constamment présent lors du projet mais, en absence de lien direct avec la présidence (les directions de service assurant bien évidemment des médiations régulières), le rapport de recherche </w:t>
      </w:r>
      <w:r w:rsidR="00CD28ED" w:rsidRPr="007E295F">
        <w:rPr>
          <w:color w:val="000000" w:themeColor="text1"/>
          <w:shd w:val="clear" w:color="auto" w:fill="FFFFFF"/>
        </w:rPr>
        <w:t xml:space="preserve">transmis à la fin de l’action </w:t>
      </w:r>
      <w:r w:rsidR="00283AA5" w:rsidRPr="007E295F">
        <w:rPr>
          <w:color w:val="000000" w:themeColor="text1"/>
          <w:shd w:val="clear" w:color="auto" w:fill="FFFFFF"/>
        </w:rPr>
        <w:t xml:space="preserve">constitua un espace de communication privilégié. </w:t>
      </w:r>
      <w:r w:rsidR="00E9566E" w:rsidRPr="007E295F">
        <w:rPr>
          <w:color w:val="000000" w:themeColor="text1"/>
          <w:shd w:val="clear" w:color="auto" w:fill="FFFFFF"/>
        </w:rPr>
        <w:t xml:space="preserve">Cette absence de lien direct tout au long de la recherche aura certainement joué un rôle notable sur la suite de l’action ou plutôt son empêchement. </w:t>
      </w:r>
      <w:r w:rsidR="00283AA5" w:rsidRPr="007E295F">
        <w:rPr>
          <w:color w:val="000000" w:themeColor="text1"/>
          <w:shd w:val="clear" w:color="auto" w:fill="FFFFFF"/>
        </w:rPr>
        <w:t xml:space="preserve">Quatre mois et demi après la livraison du rapport et la restitution finale de la recherche-action (septembre 2020), une réunion associant la présidente, le porteur de projet </w:t>
      </w:r>
      <w:r w:rsidR="00283AA5" w:rsidRPr="007E295F">
        <w:rPr>
          <w:color w:val="000000" w:themeColor="text1"/>
          <w:shd w:val="clear" w:color="auto" w:fill="FFFFFF"/>
        </w:rPr>
        <w:lastRenderedPageBreak/>
        <w:t xml:space="preserve">de la direction des services concernés et les chercheurs avait pour finalité de préciser le contenu du rapport à la lumière de sa réception et de statuer sur la suite à donner (décembre 2020). </w:t>
      </w:r>
    </w:p>
    <w:p w14:paraId="467C47EE" w14:textId="77777777" w:rsidR="00283AA5" w:rsidRPr="007E295F" w:rsidRDefault="00283AA5" w:rsidP="00E24E73">
      <w:pPr>
        <w:jc w:val="both"/>
        <w:rPr>
          <w:color w:val="000000" w:themeColor="text1"/>
          <w:shd w:val="clear" w:color="auto" w:fill="FFFFFF"/>
        </w:rPr>
      </w:pPr>
    </w:p>
    <w:p w14:paraId="28E04749" w14:textId="123DA94C" w:rsidR="00283AA5" w:rsidRPr="007E295F" w:rsidRDefault="00283AA5" w:rsidP="00E24E73">
      <w:pPr>
        <w:jc w:val="both"/>
        <w:rPr>
          <w:color w:val="000000" w:themeColor="text1"/>
          <w:shd w:val="clear" w:color="auto" w:fill="FFFFFF"/>
        </w:rPr>
      </w:pPr>
      <w:r w:rsidRPr="007E295F">
        <w:rPr>
          <w:color w:val="000000" w:themeColor="text1"/>
          <w:shd w:val="clear" w:color="auto" w:fill="FFFFFF"/>
        </w:rPr>
        <w:t xml:space="preserve">Bien que le rapport ait été jugé riche, faisant état avec précision et parfois sous un angle original des réalités du terrain, et malgré tout l’intérêt que représente l’idée de </w:t>
      </w:r>
      <w:r w:rsidR="00E9566E" w:rsidRPr="007E295F">
        <w:rPr>
          <w:color w:val="000000" w:themeColor="text1"/>
          <w:shd w:val="clear" w:color="auto" w:fill="FFFFFF"/>
        </w:rPr>
        <w:t>« </w:t>
      </w:r>
      <w:r w:rsidRPr="007E295F">
        <w:rPr>
          <w:color w:val="000000" w:themeColor="text1"/>
          <w:shd w:val="clear" w:color="auto" w:fill="FFFFFF"/>
        </w:rPr>
        <w:t>territoire capacitant</w:t>
      </w:r>
      <w:r w:rsidR="00E9566E" w:rsidRPr="007E295F">
        <w:rPr>
          <w:color w:val="000000" w:themeColor="text1"/>
          <w:shd w:val="clear" w:color="auto" w:fill="FFFFFF"/>
        </w:rPr>
        <w:t> »</w:t>
      </w:r>
      <w:r w:rsidR="00CD28ED" w:rsidRPr="007E295F">
        <w:rPr>
          <w:color w:val="000000" w:themeColor="text1"/>
          <w:shd w:val="clear" w:color="auto" w:fill="FFFFFF"/>
        </w:rPr>
        <w:t xml:space="preserve"> en remplacement de celle de « chaîne de service »</w:t>
      </w:r>
      <w:r w:rsidRPr="007E295F">
        <w:rPr>
          <w:color w:val="000000" w:themeColor="text1"/>
          <w:shd w:val="clear" w:color="auto" w:fill="FFFFFF"/>
        </w:rPr>
        <w:t>, la décision fut prise de ne pas poursuivre pour l’heure le projet. Deux motifs principaux étayent cette prise de position. Les échéances électorales proches (avril 2021) et les incertitudes qui pèsent sur leur résultat ne sont pas favorables à un engagement pour la prochaine mandature. Une remarque formulée par la présidente dans le cours des échanges a toutefois rappelé la différence des points de vue. « On n’a pas le droit de se planter ». Face à la proposition forte, dans le rapport de recherche, de changements structuraux à expérimenter dans un secteur de l’action publique qui fait déjà l’objet de pressions institutionnelles considérables en termes de modifications, c’est bien la question de la responsabilité à assumer dans l’action qui fut ici signifiée</w:t>
      </w:r>
      <w:r w:rsidR="00CD28ED" w:rsidRPr="007E295F">
        <w:rPr>
          <w:color w:val="000000" w:themeColor="text1"/>
          <w:shd w:val="clear" w:color="auto" w:fill="FFFFFF"/>
        </w:rPr>
        <w:t xml:space="preserve"> et l’indépassable dissymétrie des positions dans ce contexte institutionnel et politique resté in-interrogé lors de la recherche-action</w:t>
      </w:r>
      <w:r w:rsidRPr="007E295F">
        <w:rPr>
          <w:color w:val="000000" w:themeColor="text1"/>
          <w:shd w:val="clear" w:color="auto" w:fill="FFFFFF"/>
        </w:rPr>
        <w:t>. Quelle place accordée au point de vue scientifique dans l’action politique à mener ? C’est, bien sûr, le partage des compétences et des pouvoirs qui est ici à l’œuvre. Quelles décisions reviendraient aux sciences sociales dans un contexte de démocratie représentative et participative dans lequel les pouvoirs publics sont légitimes pour prendre des décisions engageant la collectivité ? Faut-il privilégier la participation des chercheurs à des auditions au parlement (Sénat et Assemblée Nationale) dans le cadre de la préparation de proposition de loi ? Si le scientifique se veut acteur, il ne serait pas à la place de celui ou celle qui devra assumer institutionnellement la conséquence des orientations prises et des réformes engagées. La division des responsabilités et des pouvoirs décisionnaires serait claire. La crise Covid le rappelle par ailleurs. Si le Conseil Scientifique donnait dans les premiers temps l’impression de conduire les décisions prises, par la suite, le président de ce Conseil prenait soin de rappeler, lors de ses prises de parole publiques, que c’est aux pouvoirs politiques qu’en revenait la compétence</w:t>
      </w:r>
      <w:r w:rsidRPr="007E295F">
        <w:rPr>
          <w:rStyle w:val="Appelnotedebasdep"/>
          <w:rFonts w:eastAsiaTheme="majorEastAsia"/>
          <w:color w:val="000000" w:themeColor="text1"/>
          <w:shd w:val="clear" w:color="auto" w:fill="FFFFFF"/>
        </w:rPr>
        <w:footnoteReference w:id="6"/>
      </w:r>
      <w:r w:rsidRPr="007E295F">
        <w:rPr>
          <w:color w:val="000000" w:themeColor="text1"/>
          <w:shd w:val="clear" w:color="auto" w:fill="FFFFFF"/>
        </w:rPr>
        <w:t xml:space="preserve">. Par leur vision globale du sujet qui dépasse les points de vue des scientifiques, ils seraient logiquement plus à même de prendre les décisions souhaitables. La division institutionnelle des pouvoirs recoupe alors une justification épistémique et finalement éthique. </w:t>
      </w:r>
    </w:p>
    <w:p w14:paraId="3F1B7C7C" w14:textId="77777777" w:rsidR="00283AA5" w:rsidRPr="007E295F" w:rsidRDefault="00283AA5" w:rsidP="00E24E73">
      <w:pPr>
        <w:jc w:val="both"/>
        <w:rPr>
          <w:color w:val="000000" w:themeColor="text1"/>
          <w:shd w:val="clear" w:color="auto" w:fill="FFFFFF"/>
        </w:rPr>
      </w:pPr>
    </w:p>
    <w:p w14:paraId="1C836708" w14:textId="77777777" w:rsidR="00283AA5" w:rsidRPr="007E295F" w:rsidRDefault="00283AA5" w:rsidP="00E24E73">
      <w:pPr>
        <w:jc w:val="both"/>
        <w:rPr>
          <w:color w:val="000000" w:themeColor="text1"/>
        </w:rPr>
      </w:pPr>
      <w:r w:rsidRPr="007E295F">
        <w:rPr>
          <w:color w:val="000000" w:themeColor="text1"/>
          <w:shd w:val="clear" w:color="auto" w:fill="FFFFFF"/>
        </w:rPr>
        <w:t xml:space="preserve">Comment, dès lors, concevoir une recherche-action se développant dans une vision et une institutionnalisation de relations symétriques quand l’organisation politique impose puissamment – et verticalement – sa propre conception des identités, des fonctions, des compétences et des places ? La recherche-action n’est-elle pas seulement envisageable dans le périmètre des champs professionnels en évitant finalement les échanges directs avec les acteurs politiques, qu’ils soient locaux ou nationaux ? L’impensé des chercheurs n’a-t-il pas été, ici, celui de ne pas impliquer dans l’enquête la représentation politique du CD ? Le fait de rencontrer en entretien (comme cela a été fait avec les autres acteurs aux autres niveaux de l’action institutionnelle) la présidente et les vice-présidents du CD, aurait-il eu d’autres effets sur la poursuite de la recherche-action ? L’action politique de la recherche-action n’est-elle pas avant tout possible par une transformation des acteurs agissant à proximité des publics, </w:t>
      </w:r>
      <w:r w:rsidRPr="007E295F">
        <w:rPr>
          <w:color w:val="000000" w:themeColor="text1"/>
          <w:shd w:val="clear" w:color="auto" w:fill="FFFFFF"/>
        </w:rPr>
        <w:lastRenderedPageBreak/>
        <w:t xml:space="preserve">transformations qui </w:t>
      </w:r>
      <w:proofErr w:type="gramStart"/>
      <w:r w:rsidRPr="007E295F">
        <w:rPr>
          <w:color w:val="000000" w:themeColor="text1"/>
          <w:shd w:val="clear" w:color="auto" w:fill="FFFFFF"/>
        </w:rPr>
        <w:t>auront</w:t>
      </w:r>
      <w:proofErr w:type="gramEnd"/>
      <w:r w:rsidRPr="007E295F">
        <w:rPr>
          <w:color w:val="000000" w:themeColor="text1"/>
          <w:shd w:val="clear" w:color="auto" w:fill="FFFFFF"/>
        </w:rPr>
        <w:t xml:space="preserve"> une influence sur l’action politique dans un mouvement plus ascendant ?</w:t>
      </w:r>
    </w:p>
    <w:p w14:paraId="3D865C2E" w14:textId="77777777" w:rsidR="00864CE4" w:rsidRPr="00551606" w:rsidRDefault="00864CE4" w:rsidP="00551606">
      <w:pPr>
        <w:jc w:val="both"/>
        <w:rPr>
          <w:color w:val="000000" w:themeColor="text1"/>
        </w:rPr>
      </w:pPr>
    </w:p>
    <w:p w14:paraId="42430314" w14:textId="735F5E0B" w:rsidR="00537ADE" w:rsidRPr="007E295F" w:rsidRDefault="00537ADE" w:rsidP="00E24E73">
      <w:pPr>
        <w:pStyle w:val="Paragraphedeliste"/>
        <w:numPr>
          <w:ilvl w:val="0"/>
          <w:numId w:val="1"/>
        </w:numPr>
        <w:jc w:val="both"/>
        <w:rPr>
          <w:color w:val="000000" w:themeColor="text1"/>
        </w:rPr>
      </w:pPr>
      <w:r w:rsidRPr="007E295F">
        <w:rPr>
          <w:color w:val="000000" w:themeColor="text1"/>
        </w:rPr>
        <w:t xml:space="preserve">L’idée de </w:t>
      </w:r>
      <w:r w:rsidR="00E9566E" w:rsidRPr="007E295F">
        <w:rPr>
          <w:color w:val="000000" w:themeColor="text1"/>
        </w:rPr>
        <w:t>« </w:t>
      </w:r>
      <w:r w:rsidRPr="007E295F">
        <w:rPr>
          <w:color w:val="000000" w:themeColor="text1"/>
        </w:rPr>
        <w:t>territoire capacitant</w:t>
      </w:r>
      <w:r w:rsidR="00E9566E" w:rsidRPr="007E295F">
        <w:rPr>
          <w:color w:val="000000" w:themeColor="text1"/>
        </w:rPr>
        <w:t> »</w:t>
      </w:r>
      <w:r w:rsidRPr="007E295F">
        <w:rPr>
          <w:color w:val="000000" w:themeColor="text1"/>
        </w:rPr>
        <w:t xml:space="preserve"> à l’aune de ces analyses</w:t>
      </w:r>
    </w:p>
    <w:p w14:paraId="1FD9F44E" w14:textId="77777777" w:rsidR="00BC249E" w:rsidRPr="007E295F" w:rsidRDefault="00B95441" w:rsidP="00E24E73">
      <w:pPr>
        <w:jc w:val="both"/>
        <w:rPr>
          <w:color w:val="000000" w:themeColor="text1"/>
        </w:rPr>
      </w:pPr>
      <w:r w:rsidRPr="007E295F">
        <w:rPr>
          <w:color w:val="000000" w:themeColor="text1"/>
        </w:rPr>
        <w:t xml:space="preserve">  </w:t>
      </w:r>
      <w:r w:rsidR="00BC249E" w:rsidRPr="007E295F">
        <w:rPr>
          <w:color w:val="000000" w:themeColor="text1"/>
        </w:rPr>
        <w:t xml:space="preserve"> </w:t>
      </w:r>
    </w:p>
    <w:p w14:paraId="48D4CDA8" w14:textId="0092E56B" w:rsidR="000F54D3" w:rsidRDefault="002A001E" w:rsidP="00E24E73">
      <w:pPr>
        <w:jc w:val="both"/>
        <w:rPr>
          <w:color w:val="000000" w:themeColor="text1"/>
          <w:shd w:val="clear" w:color="auto" w:fill="FFFFFF"/>
        </w:rPr>
      </w:pPr>
      <w:r w:rsidRPr="007E295F">
        <w:rPr>
          <w:color w:val="000000" w:themeColor="text1"/>
          <w:shd w:val="clear" w:color="auto" w:fill="FFFFFF"/>
        </w:rPr>
        <w:t>Pour saisir les liens entre production finale de connaissance, i</w:t>
      </w:r>
      <w:r w:rsidR="00283AA5" w:rsidRPr="007E295F">
        <w:rPr>
          <w:color w:val="000000" w:themeColor="text1"/>
          <w:shd w:val="clear" w:color="auto" w:fill="FFFFFF"/>
        </w:rPr>
        <w:t xml:space="preserve">l est éclairant de revenir à l’écriture du dernier sous-chapitre du rapport </w:t>
      </w:r>
      <w:r w:rsidRPr="007E295F">
        <w:rPr>
          <w:color w:val="000000" w:themeColor="text1"/>
          <w:shd w:val="clear" w:color="auto" w:fill="FFFFFF"/>
        </w:rPr>
        <w:t xml:space="preserve">exposant l’idée innovante de territoire capacitant dans le contexte du monde de l’insertion de ce département. </w:t>
      </w:r>
      <w:r w:rsidR="000F54D3" w:rsidRPr="007E295F">
        <w:rPr>
          <w:color w:val="000000" w:themeColor="text1"/>
          <w:shd w:val="clear" w:color="auto" w:fill="FFFFFF"/>
        </w:rPr>
        <w:t>Cette idée s’inspire à la fois des travaux qui concernent le territoire lorsque celui-ci est entendu comme construit par les acteurs et d’une relecture des travaux sur les capabilités.</w:t>
      </w:r>
    </w:p>
    <w:p w14:paraId="1E77DED0" w14:textId="77777777" w:rsidR="007E295F" w:rsidRPr="007E295F" w:rsidRDefault="007E295F" w:rsidP="00E24E73">
      <w:pPr>
        <w:jc w:val="both"/>
        <w:rPr>
          <w:color w:val="000000" w:themeColor="text1"/>
          <w:shd w:val="clear" w:color="auto" w:fill="FFFFFF"/>
        </w:rPr>
      </w:pPr>
    </w:p>
    <w:p w14:paraId="077E063E" w14:textId="6FBCE1B4" w:rsidR="00283AA5" w:rsidRPr="007E295F" w:rsidRDefault="000F54D3" w:rsidP="00E24E73">
      <w:pPr>
        <w:jc w:val="both"/>
        <w:rPr>
          <w:color w:val="000000" w:themeColor="text1"/>
          <w:shd w:val="clear" w:color="auto" w:fill="FFFFFF"/>
        </w:rPr>
      </w:pPr>
      <w:r w:rsidRPr="007E295F">
        <w:rPr>
          <w:color w:val="000000" w:themeColor="text1"/>
          <w:shd w:val="clear" w:color="auto" w:fill="FFFFFF"/>
        </w:rPr>
        <w:t>L’introduction de cette idée</w:t>
      </w:r>
      <w:r w:rsidR="002A001E" w:rsidRPr="007E295F">
        <w:rPr>
          <w:color w:val="000000" w:themeColor="text1"/>
          <w:shd w:val="clear" w:color="auto" w:fill="FFFFFF"/>
        </w:rPr>
        <w:t xml:space="preserve"> </w:t>
      </w:r>
      <w:r w:rsidRPr="007E295F">
        <w:rPr>
          <w:color w:val="000000" w:themeColor="text1"/>
          <w:shd w:val="clear" w:color="auto" w:fill="FFFFFF"/>
        </w:rPr>
        <w:t>peut selon nous constituer</w:t>
      </w:r>
      <w:r w:rsidR="00283AA5" w:rsidRPr="007E295F">
        <w:rPr>
          <w:color w:val="000000" w:themeColor="text1"/>
          <w:shd w:val="clear" w:color="auto" w:fill="FFFFFF"/>
        </w:rPr>
        <w:t xml:space="preserve"> </w:t>
      </w:r>
      <w:r w:rsidR="002A001E" w:rsidRPr="007E295F">
        <w:rPr>
          <w:color w:val="000000" w:themeColor="text1"/>
          <w:shd w:val="clear" w:color="auto" w:fill="FFFFFF"/>
        </w:rPr>
        <w:t xml:space="preserve">un </w:t>
      </w:r>
      <w:r w:rsidR="00E9566E" w:rsidRPr="007E295F">
        <w:rPr>
          <w:color w:val="000000" w:themeColor="text1"/>
          <w:shd w:val="clear" w:color="auto" w:fill="FFFFFF"/>
        </w:rPr>
        <w:t xml:space="preserve">des </w:t>
      </w:r>
      <w:r w:rsidR="00283AA5" w:rsidRPr="007E295F">
        <w:rPr>
          <w:color w:val="000000" w:themeColor="text1"/>
          <w:shd w:val="clear" w:color="auto" w:fill="FFFFFF"/>
        </w:rPr>
        <w:t>facteur</w:t>
      </w:r>
      <w:r w:rsidR="00E9566E" w:rsidRPr="007E295F">
        <w:rPr>
          <w:color w:val="000000" w:themeColor="text1"/>
          <w:shd w:val="clear" w:color="auto" w:fill="FFFFFF"/>
        </w:rPr>
        <w:t>s</w:t>
      </w:r>
      <w:r w:rsidR="00283AA5" w:rsidRPr="007E295F">
        <w:rPr>
          <w:color w:val="000000" w:themeColor="text1"/>
          <w:shd w:val="clear" w:color="auto" w:fill="FFFFFF"/>
        </w:rPr>
        <w:t xml:space="preserve"> explicatif</w:t>
      </w:r>
      <w:r w:rsidR="00E9566E" w:rsidRPr="007E295F">
        <w:rPr>
          <w:color w:val="000000" w:themeColor="text1"/>
          <w:shd w:val="clear" w:color="auto" w:fill="FFFFFF"/>
        </w:rPr>
        <w:t>s</w:t>
      </w:r>
      <w:r w:rsidR="00283AA5" w:rsidRPr="007E295F">
        <w:rPr>
          <w:color w:val="000000" w:themeColor="text1"/>
          <w:shd w:val="clear" w:color="auto" w:fill="FFFFFF"/>
        </w:rPr>
        <w:t xml:space="preserve"> de la suspension de la démarche </w:t>
      </w:r>
      <w:r w:rsidR="002A001E" w:rsidRPr="007E295F">
        <w:rPr>
          <w:color w:val="000000" w:themeColor="text1"/>
          <w:shd w:val="clear" w:color="auto" w:fill="FFFFFF"/>
        </w:rPr>
        <w:t>(</w:t>
      </w:r>
      <w:r w:rsidR="00283AA5" w:rsidRPr="007E295F">
        <w:rPr>
          <w:color w:val="000000" w:themeColor="text1"/>
          <w:shd w:val="clear" w:color="auto" w:fill="FFFFFF"/>
        </w:rPr>
        <w:t>et ce bien que la persistance de situations d’urgence et de vulnérabilité croissante des personnes recevant l’allocation RSA ait été soulignée</w:t>
      </w:r>
      <w:r w:rsidR="002A001E" w:rsidRPr="007E295F">
        <w:rPr>
          <w:color w:val="000000" w:themeColor="text1"/>
          <w:shd w:val="clear" w:color="auto" w:fill="FFFFFF"/>
        </w:rPr>
        <w:t>) et permet d’analyser la néc</w:t>
      </w:r>
      <w:r w:rsidRPr="007E295F">
        <w:rPr>
          <w:color w:val="000000" w:themeColor="text1"/>
          <w:shd w:val="clear" w:color="auto" w:fill="FFFFFF"/>
        </w:rPr>
        <w:t>essité</w:t>
      </w:r>
      <w:r w:rsidR="002A001E" w:rsidRPr="007E295F">
        <w:rPr>
          <w:color w:val="000000" w:themeColor="text1"/>
          <w:shd w:val="clear" w:color="auto" w:fill="FFFFFF"/>
        </w:rPr>
        <w:t xml:space="preserve"> </w:t>
      </w:r>
      <w:r w:rsidRPr="007E295F">
        <w:rPr>
          <w:color w:val="000000" w:themeColor="text1"/>
          <w:shd w:val="clear" w:color="auto" w:fill="FFFFFF"/>
        </w:rPr>
        <w:t xml:space="preserve">de la </w:t>
      </w:r>
      <w:r w:rsidR="002A001E" w:rsidRPr="007E295F">
        <w:rPr>
          <w:color w:val="000000" w:themeColor="text1"/>
          <w:shd w:val="clear" w:color="auto" w:fill="FFFFFF"/>
        </w:rPr>
        <w:t>construction</w:t>
      </w:r>
      <w:r w:rsidR="00E9566E" w:rsidRPr="007E295F">
        <w:rPr>
          <w:color w:val="000000" w:themeColor="text1"/>
          <w:shd w:val="clear" w:color="auto" w:fill="FFFFFF"/>
        </w:rPr>
        <w:t xml:space="preserve"> conjointe d’associations et de</w:t>
      </w:r>
      <w:r w:rsidR="002A001E" w:rsidRPr="007E295F">
        <w:rPr>
          <w:color w:val="000000" w:themeColor="text1"/>
          <w:shd w:val="clear" w:color="auto" w:fill="FFFFFF"/>
        </w:rPr>
        <w:t xml:space="preserve"> savoirs</w:t>
      </w:r>
      <w:r w:rsidR="00E9566E" w:rsidRPr="007E295F">
        <w:rPr>
          <w:color w:val="000000" w:themeColor="text1"/>
          <w:shd w:val="clear" w:color="auto" w:fill="FFFFFF"/>
        </w:rPr>
        <w:t xml:space="preserve"> </w:t>
      </w:r>
      <w:r w:rsidR="00F344AD" w:rsidRPr="007E295F">
        <w:rPr>
          <w:color w:val="000000" w:themeColor="text1"/>
          <w:shd w:val="clear" w:color="auto" w:fill="FFFFFF"/>
        </w:rPr>
        <w:t>reposant d’emblée la question de la temporalité</w:t>
      </w:r>
      <w:r w:rsidR="00283AA5" w:rsidRPr="007E295F">
        <w:rPr>
          <w:color w:val="000000" w:themeColor="text1"/>
          <w:shd w:val="clear" w:color="auto" w:fill="FFFFFF"/>
        </w:rPr>
        <w:t xml:space="preserve">. </w:t>
      </w:r>
      <w:r w:rsidR="002A001E" w:rsidRPr="007E295F">
        <w:rPr>
          <w:color w:val="000000" w:themeColor="text1"/>
          <w:shd w:val="clear" w:color="auto" w:fill="FFFFFF"/>
        </w:rPr>
        <w:t xml:space="preserve">La remise du rapport a de fait obligé le collectif de recherche, devant répondre aux engagements institutionnels et aux impératifs du calendrier négocié en amont, de rapidement finaliser son écriture. </w:t>
      </w:r>
      <w:r w:rsidR="00283AA5" w:rsidRPr="007E295F">
        <w:rPr>
          <w:color w:val="000000" w:themeColor="text1"/>
          <w:shd w:val="clear" w:color="auto" w:fill="FFFFFF"/>
        </w:rPr>
        <w:t xml:space="preserve">En accélérant quelque peu </w:t>
      </w:r>
      <w:r w:rsidR="002A001E" w:rsidRPr="007E295F">
        <w:rPr>
          <w:color w:val="000000" w:themeColor="text1"/>
          <w:shd w:val="clear" w:color="auto" w:fill="FFFFFF"/>
        </w:rPr>
        <w:t xml:space="preserve">la manière de concevoir et de proposer </w:t>
      </w:r>
      <w:r w:rsidR="00283AA5" w:rsidRPr="007E295F">
        <w:rPr>
          <w:color w:val="000000" w:themeColor="text1"/>
          <w:shd w:val="clear" w:color="auto" w:fill="FFFFFF"/>
        </w:rPr>
        <w:t xml:space="preserve">l’adoption d’un nouveau point de vue sur le monde social de l’insertion, non seulement cette perspective n’a pas eu le temps de se tisser avec l’ensemble des chercheurs, fragilisant sans doute la position de </w:t>
      </w:r>
      <w:r w:rsidR="00283AA5" w:rsidRPr="007E295F">
        <w:rPr>
          <w:color w:val="000000" w:themeColor="text1"/>
        </w:rPr>
        <w:t>P</w:t>
      </w:r>
      <w:r w:rsidR="008D2039" w:rsidRPr="007E295F">
        <w:rPr>
          <w:color w:val="000000" w:themeColor="text1"/>
        </w:rPr>
        <w:t>icote</w:t>
      </w:r>
      <w:r w:rsidR="00283AA5" w:rsidRPr="007E295F">
        <w:rPr>
          <w:color w:val="000000" w:themeColor="text1"/>
          <w:shd w:val="clear" w:color="auto" w:fill="FFFFFF"/>
        </w:rPr>
        <w:t xml:space="preserve"> dans </w:t>
      </w:r>
      <w:r w:rsidR="002A001E" w:rsidRPr="007E295F">
        <w:rPr>
          <w:color w:val="000000" w:themeColor="text1"/>
          <w:shd w:val="clear" w:color="auto" w:fill="FFFFFF"/>
        </w:rPr>
        <w:t>les échanges institutionnels, mais</w:t>
      </w:r>
      <w:r w:rsidR="00283AA5" w:rsidRPr="007E295F">
        <w:rPr>
          <w:color w:val="000000" w:themeColor="text1"/>
          <w:shd w:val="clear" w:color="auto" w:fill="FFFFFF"/>
        </w:rPr>
        <w:t xml:space="preserve"> la perspective du « territoire capacitant » n’a </w:t>
      </w:r>
      <w:r w:rsidR="002A001E" w:rsidRPr="007E295F">
        <w:rPr>
          <w:color w:val="000000" w:themeColor="text1"/>
          <w:shd w:val="clear" w:color="auto" w:fill="FFFFFF"/>
        </w:rPr>
        <w:t xml:space="preserve">de même </w:t>
      </w:r>
      <w:r w:rsidR="00283AA5" w:rsidRPr="007E295F">
        <w:rPr>
          <w:color w:val="000000" w:themeColor="text1"/>
          <w:shd w:val="clear" w:color="auto" w:fill="FFFFFF"/>
        </w:rPr>
        <w:t>pas pu</w:t>
      </w:r>
      <w:r w:rsidR="008D2039" w:rsidRPr="007E295F">
        <w:rPr>
          <w:color w:val="000000" w:themeColor="text1"/>
          <w:shd w:val="clear" w:color="auto" w:fill="FFFFFF"/>
        </w:rPr>
        <w:t>, semble-t-il,</w:t>
      </w:r>
      <w:r w:rsidR="00283AA5" w:rsidRPr="007E295F">
        <w:rPr>
          <w:color w:val="000000" w:themeColor="text1"/>
          <w:shd w:val="clear" w:color="auto" w:fill="FFFFFF"/>
        </w:rPr>
        <w:t xml:space="preserve"> se tisser avec les professionnels du terrain puisqu’elle s’est construite en aval des différents espaces de discussion entre les membres du collectif de recherche et les professionnels et personnes concernées par le monde social de l’insertion. Les lecteurs du rapport, extérieurs à la démarche, n’ont-ils pas eu le sentiment de voir s’imposer un point de vue en partie arbitraire ? En l’absence de véritables médiations de sens opérées par les différentes parties prenantes de la recherche, associant différents points de vue scientifiques et professionnels ou sociaux, le rapport de recherche et sa présentation n’ont-ils pas quelque peu brouillé les lignes et finalement adressé des messages contradictoires fragilisant une projection future de la collaboration ? A contrario, le scientifique comme acteur social n’est-il pas aussi un acteur amené à porter une action et vision politiques, question loin d’être aujourd’hui résolue dans le contexte de la crise climatique et écologique ou du renforcement des inégalités sociales ? Les réponses à ces questions, formulées lors d’un temps ultérieur au processus concret de recherche-action ne peuvent trouver ici de réponses univoques. Elles sont sûrement extrêmement complexes mais peut-être l’une d’entre elles réside dans le fait de soumettre à la fois les acteurs de la recherche et les acteurs </w:t>
      </w:r>
      <w:r w:rsidR="001A0FEA" w:rsidRPr="007E295F">
        <w:rPr>
          <w:color w:val="000000" w:themeColor="text1"/>
          <w:shd w:val="clear" w:color="auto" w:fill="FFFFFF"/>
        </w:rPr>
        <w:t xml:space="preserve">y participant </w:t>
      </w:r>
      <w:r w:rsidR="00283AA5" w:rsidRPr="007E295F">
        <w:rPr>
          <w:color w:val="000000" w:themeColor="text1"/>
          <w:shd w:val="clear" w:color="auto" w:fill="FFFFFF"/>
        </w:rPr>
        <w:t xml:space="preserve">à un agenda spécifique, celui de la temporalité politique des élus. Concernant la recherche-action du point de vue des acteurs de la recherche, son déroulement s’est effectué sur un temps extrêmement contraint (huit mois prévus au départ pour être finalement allongé à quatorze, du fait </w:t>
      </w:r>
      <w:r w:rsidR="001A0FEA" w:rsidRPr="007E295F">
        <w:rPr>
          <w:color w:val="000000" w:themeColor="text1"/>
          <w:shd w:val="clear" w:color="auto" w:fill="FFFFFF"/>
        </w:rPr>
        <w:t xml:space="preserve">du </w:t>
      </w:r>
      <w:r w:rsidR="00283AA5" w:rsidRPr="007E295F">
        <w:rPr>
          <w:color w:val="000000" w:themeColor="text1"/>
          <w:shd w:val="clear" w:color="auto" w:fill="FFFFFF"/>
        </w:rPr>
        <w:t xml:space="preserve">Covid). Du point de vue des acteurs du monde social de l’insertion, personnes concernées comme professionnels, l’action en recherche est enserrée dans l’agenda institutionnel, lui-même pris dans une volonté réformatrice descendante imposant des régulations techniques toujours plus omniprésentes et dont la conséquence, outre un essoufflement des agents, peut être délétère aux dispositifs existants et efficaces du point de vue des personnes concernées et dont l’annonce en septembre 2021 du </w:t>
      </w:r>
      <w:r w:rsidR="00F344AD" w:rsidRPr="007E295F">
        <w:rPr>
          <w:color w:val="000000" w:themeColor="text1"/>
          <w:shd w:val="clear" w:color="auto" w:fill="FFFFFF"/>
        </w:rPr>
        <w:t>Service Public de l’Insertion et de l’Emploi (</w:t>
      </w:r>
      <w:r w:rsidR="00283AA5" w:rsidRPr="007E295F">
        <w:rPr>
          <w:color w:val="000000" w:themeColor="text1"/>
          <w:shd w:val="clear" w:color="auto" w:fill="FFFFFF"/>
        </w:rPr>
        <w:t>SPIE</w:t>
      </w:r>
      <w:r w:rsidR="00F344AD" w:rsidRPr="007E295F">
        <w:rPr>
          <w:color w:val="000000" w:themeColor="text1"/>
          <w:shd w:val="clear" w:color="auto" w:fill="FFFFFF"/>
        </w:rPr>
        <w:t>)</w:t>
      </w:r>
      <w:r w:rsidR="00283AA5" w:rsidRPr="007E295F">
        <w:rPr>
          <w:color w:val="000000" w:themeColor="text1"/>
          <w:shd w:val="clear" w:color="auto" w:fill="FFFFFF"/>
        </w:rPr>
        <w:t xml:space="preserve"> est une illustration flagrante d’un temps qui échappe à plusieurs catégories d’acteurs engagés dans l’action publique d’insertion et d’inclusion.</w:t>
      </w:r>
      <w:r w:rsidR="00DE512B" w:rsidRPr="007E295F">
        <w:rPr>
          <w:color w:val="000000" w:themeColor="text1"/>
          <w:shd w:val="clear" w:color="auto" w:fill="FFFFFF"/>
        </w:rPr>
        <w:t xml:space="preserve"> Autant d’éléments qui mettent en lumière la temporalité nécessaire à l’engagement d’une recherche-action dans le cadre d’une société en accélération constante (Rosa, 2013).</w:t>
      </w:r>
    </w:p>
    <w:p w14:paraId="4B14CFC8" w14:textId="2C329DB1" w:rsidR="00F518D9" w:rsidRPr="007E295F" w:rsidRDefault="00F518D9" w:rsidP="00E24E73">
      <w:pPr>
        <w:jc w:val="both"/>
        <w:rPr>
          <w:color w:val="000000" w:themeColor="text1"/>
          <w:shd w:val="clear" w:color="auto" w:fill="FFFFFF"/>
        </w:rPr>
      </w:pPr>
    </w:p>
    <w:p w14:paraId="5CEB4E67" w14:textId="6C288412" w:rsidR="00DE512B" w:rsidRDefault="00DE512B" w:rsidP="00E24E73">
      <w:pPr>
        <w:jc w:val="both"/>
        <w:rPr>
          <w:color w:val="000000" w:themeColor="text1"/>
          <w:shd w:val="clear" w:color="auto" w:fill="FFFFFF"/>
        </w:rPr>
      </w:pPr>
      <w:r w:rsidRPr="007E295F">
        <w:rPr>
          <w:color w:val="000000" w:themeColor="text1"/>
          <w:shd w:val="clear" w:color="auto" w:fill="FFFFFF"/>
        </w:rPr>
        <w:lastRenderedPageBreak/>
        <w:t>Bibliographie</w:t>
      </w:r>
    </w:p>
    <w:p w14:paraId="695F87E8" w14:textId="77777777" w:rsidR="00864CE4" w:rsidRPr="007E295F" w:rsidRDefault="00864CE4" w:rsidP="00E24E73">
      <w:pPr>
        <w:jc w:val="both"/>
        <w:rPr>
          <w:color w:val="000000" w:themeColor="text1"/>
          <w:shd w:val="clear" w:color="auto" w:fill="FFFFFF"/>
        </w:rPr>
      </w:pPr>
    </w:p>
    <w:p w14:paraId="7FE95CE2" w14:textId="77777777" w:rsidR="00A60CFD" w:rsidRPr="007E295F" w:rsidRDefault="00A60CFD" w:rsidP="00E24E73">
      <w:pPr>
        <w:jc w:val="both"/>
        <w:rPr>
          <w:color w:val="000000" w:themeColor="text1"/>
          <w:shd w:val="clear" w:color="auto" w:fill="FFFFFF"/>
        </w:rPr>
      </w:pPr>
      <w:proofErr w:type="spellStart"/>
      <w:r w:rsidRPr="007E295F">
        <w:rPr>
          <w:color w:val="000000" w:themeColor="text1"/>
        </w:rPr>
        <w:t>Bensaude</w:t>
      </w:r>
      <w:proofErr w:type="spellEnd"/>
      <w:r w:rsidRPr="007E295F">
        <w:rPr>
          <w:color w:val="000000" w:themeColor="text1"/>
        </w:rPr>
        <w:t xml:space="preserve">-Vincent B. (2013), </w:t>
      </w:r>
      <w:r w:rsidRPr="007E295F">
        <w:rPr>
          <w:i/>
          <w:color w:val="000000" w:themeColor="text1"/>
        </w:rPr>
        <w:t>L’opinion publique et la science. A chacun son ignorance</w:t>
      </w:r>
      <w:r w:rsidRPr="007E295F">
        <w:rPr>
          <w:color w:val="000000" w:themeColor="text1"/>
        </w:rPr>
        <w:t xml:space="preserve">, Paris, La Découverte. </w:t>
      </w:r>
    </w:p>
    <w:p w14:paraId="369D4057" w14:textId="77777777" w:rsidR="00A60CFD" w:rsidRPr="007E295F" w:rsidRDefault="00A60CFD" w:rsidP="00E24E73">
      <w:pPr>
        <w:jc w:val="both"/>
        <w:rPr>
          <w:color w:val="000000" w:themeColor="text1"/>
        </w:rPr>
      </w:pPr>
      <w:r w:rsidRPr="007E295F">
        <w:rPr>
          <w:color w:val="000000" w:themeColor="text1"/>
        </w:rPr>
        <w:t xml:space="preserve">Cervera M. (2022), « Temps </w:t>
      </w:r>
      <w:proofErr w:type="spellStart"/>
      <w:r w:rsidRPr="007E295F">
        <w:rPr>
          <w:color w:val="000000" w:themeColor="text1"/>
        </w:rPr>
        <w:t>extractiviste</w:t>
      </w:r>
      <w:proofErr w:type="spellEnd"/>
      <w:r w:rsidRPr="007E295F">
        <w:rPr>
          <w:color w:val="000000" w:themeColor="text1"/>
        </w:rPr>
        <w:t xml:space="preserve"> et temps génératif dans la recherche », in </w:t>
      </w:r>
      <w:proofErr w:type="spellStart"/>
      <w:r w:rsidRPr="007E295F">
        <w:rPr>
          <w:color w:val="000000" w:themeColor="text1"/>
        </w:rPr>
        <w:t>Mouchtouris</w:t>
      </w:r>
      <w:proofErr w:type="spellEnd"/>
      <w:r w:rsidRPr="007E295F">
        <w:rPr>
          <w:color w:val="000000" w:themeColor="text1"/>
        </w:rPr>
        <w:t xml:space="preserve"> A. (</w:t>
      </w:r>
      <w:proofErr w:type="spellStart"/>
      <w:r w:rsidRPr="007E295F">
        <w:rPr>
          <w:color w:val="000000" w:themeColor="text1"/>
        </w:rPr>
        <w:t>dir</w:t>
      </w:r>
      <w:proofErr w:type="spellEnd"/>
      <w:r w:rsidRPr="007E295F">
        <w:rPr>
          <w:color w:val="000000" w:themeColor="text1"/>
        </w:rPr>
        <w:t xml:space="preserve">.), </w:t>
      </w:r>
      <w:r w:rsidRPr="007E295F">
        <w:rPr>
          <w:i/>
          <w:iCs/>
          <w:color w:val="000000" w:themeColor="text1"/>
        </w:rPr>
        <w:t>Métamorphose de l’existant</w:t>
      </w:r>
      <w:r w:rsidRPr="007E295F">
        <w:rPr>
          <w:color w:val="000000" w:themeColor="text1"/>
        </w:rPr>
        <w:t xml:space="preserve">, </w:t>
      </w:r>
      <w:proofErr w:type="spellStart"/>
      <w:r w:rsidRPr="007E295F">
        <w:rPr>
          <w:color w:val="000000" w:themeColor="text1"/>
        </w:rPr>
        <w:t>ed</w:t>
      </w:r>
      <w:proofErr w:type="spellEnd"/>
      <w:r w:rsidRPr="007E295F">
        <w:rPr>
          <w:color w:val="000000" w:themeColor="text1"/>
        </w:rPr>
        <w:t>. Le Manuscrit, p.159-176</w:t>
      </w:r>
    </w:p>
    <w:p w14:paraId="49BA155C" w14:textId="77777777" w:rsidR="00A60CFD" w:rsidRPr="007E295F" w:rsidRDefault="00A60CFD" w:rsidP="001A0FEA">
      <w:pPr>
        <w:jc w:val="both"/>
        <w:rPr>
          <w:color w:val="000000" w:themeColor="text1"/>
        </w:rPr>
      </w:pPr>
      <w:r w:rsidRPr="007E295F">
        <w:rPr>
          <w:color w:val="000000" w:themeColor="text1"/>
        </w:rPr>
        <w:t xml:space="preserve">Clot Y. (1999), </w:t>
      </w:r>
      <w:r w:rsidRPr="007E295F">
        <w:rPr>
          <w:i/>
          <w:color w:val="000000" w:themeColor="text1"/>
        </w:rPr>
        <w:t>La fonction psychologique du travail</w:t>
      </w:r>
      <w:r w:rsidRPr="007E295F">
        <w:rPr>
          <w:color w:val="000000" w:themeColor="text1"/>
        </w:rPr>
        <w:t xml:space="preserve">, Paris, Presses Universitaires de France, Coll. « Le travail humain ». </w:t>
      </w:r>
    </w:p>
    <w:p w14:paraId="02D23667" w14:textId="77777777" w:rsidR="00A60CFD" w:rsidRPr="007E295F" w:rsidRDefault="00A60CFD" w:rsidP="001A0FEA">
      <w:pPr>
        <w:jc w:val="both"/>
        <w:rPr>
          <w:color w:val="000000" w:themeColor="text1"/>
        </w:rPr>
      </w:pPr>
      <w:r w:rsidRPr="007E295F">
        <w:rPr>
          <w:color w:val="000000" w:themeColor="text1"/>
        </w:rPr>
        <w:t xml:space="preserve">Derrida J. (1994), </w:t>
      </w:r>
      <w:r w:rsidRPr="007E295F">
        <w:rPr>
          <w:i/>
          <w:color w:val="000000" w:themeColor="text1"/>
        </w:rPr>
        <w:t>Politiques de l’amitié</w:t>
      </w:r>
      <w:r w:rsidRPr="007E295F">
        <w:rPr>
          <w:color w:val="000000" w:themeColor="text1"/>
        </w:rPr>
        <w:t xml:space="preserve">, Paris, Galilée. </w:t>
      </w:r>
    </w:p>
    <w:p w14:paraId="557DC7F0" w14:textId="77777777" w:rsidR="00A60CFD" w:rsidRPr="007E295F" w:rsidRDefault="00A60CFD" w:rsidP="001A0FEA">
      <w:pPr>
        <w:jc w:val="both"/>
        <w:rPr>
          <w:i/>
          <w:iCs/>
          <w:color w:val="000000" w:themeColor="text1"/>
        </w:rPr>
      </w:pPr>
      <w:r w:rsidRPr="007E295F">
        <w:rPr>
          <w:color w:val="000000" w:themeColor="text1"/>
        </w:rPr>
        <w:t xml:space="preserve">Dupuy C., Sarfati F. (2022), </w:t>
      </w:r>
      <w:r w:rsidRPr="007E295F">
        <w:rPr>
          <w:i/>
          <w:iCs/>
          <w:color w:val="000000" w:themeColor="text1"/>
        </w:rPr>
        <w:t xml:space="preserve">Gouverner par l’emploi. Une histoire de l’école 42, </w:t>
      </w:r>
      <w:r w:rsidRPr="007E295F">
        <w:rPr>
          <w:color w:val="000000" w:themeColor="text1"/>
        </w:rPr>
        <w:t xml:space="preserve">Paris, Presses Universitaires de France. </w:t>
      </w:r>
    </w:p>
    <w:p w14:paraId="556C16B5" w14:textId="77777777" w:rsidR="00A60CFD" w:rsidRPr="007E295F" w:rsidRDefault="00A60CFD" w:rsidP="001A0FEA">
      <w:pPr>
        <w:jc w:val="both"/>
        <w:rPr>
          <w:color w:val="000000" w:themeColor="text1"/>
        </w:rPr>
      </w:pPr>
      <w:r w:rsidRPr="007E295F">
        <w:rPr>
          <w:color w:val="000000" w:themeColor="text1"/>
        </w:rPr>
        <w:t xml:space="preserve">Latour B. (2005/2007), </w:t>
      </w:r>
      <w:r w:rsidRPr="007E295F">
        <w:rPr>
          <w:i/>
          <w:color w:val="000000" w:themeColor="text1"/>
        </w:rPr>
        <w:t>Changer de société, refaire de la sociologie</w:t>
      </w:r>
      <w:r w:rsidRPr="007E295F">
        <w:rPr>
          <w:color w:val="000000" w:themeColor="text1"/>
        </w:rPr>
        <w:t xml:space="preserve">, Paris, La Découverte. </w:t>
      </w:r>
    </w:p>
    <w:p w14:paraId="2EB00A67" w14:textId="77777777" w:rsidR="00A60CFD" w:rsidRPr="007E295F" w:rsidRDefault="00A60CFD" w:rsidP="001A0FEA">
      <w:pPr>
        <w:jc w:val="both"/>
        <w:rPr>
          <w:color w:val="000000" w:themeColor="text1"/>
        </w:rPr>
      </w:pPr>
      <w:r w:rsidRPr="007E295F">
        <w:rPr>
          <w:color w:val="000000" w:themeColor="text1"/>
        </w:rPr>
        <w:t xml:space="preserve">Laville Jean-Louis (2010), </w:t>
      </w:r>
      <w:r w:rsidRPr="007E295F">
        <w:rPr>
          <w:i/>
          <w:iCs/>
          <w:color w:val="000000" w:themeColor="text1"/>
        </w:rPr>
        <w:t>Politique de l’association</w:t>
      </w:r>
      <w:r w:rsidRPr="007E295F">
        <w:rPr>
          <w:color w:val="000000" w:themeColor="text1"/>
        </w:rPr>
        <w:t>, Paris, Seuil.</w:t>
      </w:r>
    </w:p>
    <w:p w14:paraId="328BD36E" w14:textId="77777777" w:rsidR="00A60CFD" w:rsidRPr="007E295F" w:rsidRDefault="00A60CFD" w:rsidP="001A0FEA">
      <w:pPr>
        <w:jc w:val="both"/>
        <w:rPr>
          <w:color w:val="000000" w:themeColor="text1"/>
        </w:rPr>
      </w:pPr>
      <w:r w:rsidRPr="007E295F">
        <w:rPr>
          <w:color w:val="000000" w:themeColor="text1"/>
        </w:rPr>
        <w:t xml:space="preserve">Laville Jean-Louis (2016), </w:t>
      </w:r>
      <w:r w:rsidRPr="007E295F">
        <w:rPr>
          <w:i/>
          <w:iCs/>
          <w:color w:val="000000" w:themeColor="text1"/>
        </w:rPr>
        <w:t>L’économie sociale et solidaire. Pratiques, théories, débats</w:t>
      </w:r>
      <w:r w:rsidRPr="007E295F">
        <w:rPr>
          <w:color w:val="000000" w:themeColor="text1"/>
        </w:rPr>
        <w:t>, Paris, Points.</w:t>
      </w:r>
    </w:p>
    <w:p w14:paraId="393AFDC6" w14:textId="66CBE395" w:rsidR="00A60CFD" w:rsidRPr="007E295F" w:rsidRDefault="00A60CFD" w:rsidP="00E24E73">
      <w:pPr>
        <w:jc w:val="both"/>
        <w:rPr>
          <w:color w:val="000000" w:themeColor="text1"/>
        </w:rPr>
      </w:pPr>
      <w:proofErr w:type="spellStart"/>
      <w:r w:rsidRPr="007E295F">
        <w:rPr>
          <w:color w:val="000000" w:themeColor="text1"/>
        </w:rPr>
        <w:t>Levilain</w:t>
      </w:r>
      <w:proofErr w:type="spellEnd"/>
      <w:r w:rsidRPr="007E295F">
        <w:rPr>
          <w:color w:val="000000" w:themeColor="text1"/>
        </w:rPr>
        <w:t xml:space="preserve"> Hervé (2022), « Actualité de l’épidémie. De la « gast</w:t>
      </w:r>
      <w:r w:rsidR="007E295F" w:rsidRPr="007E295F">
        <w:rPr>
          <w:color w:val="000000" w:themeColor="text1"/>
        </w:rPr>
        <w:t>r</w:t>
      </w:r>
      <w:r w:rsidRPr="007E295F">
        <w:rPr>
          <w:color w:val="000000" w:themeColor="text1"/>
        </w:rPr>
        <w:t xml:space="preserve">o » à la « covid » : les maladies infectieuses </w:t>
      </w:r>
      <w:proofErr w:type="gramStart"/>
      <w:r w:rsidRPr="007E295F">
        <w:rPr>
          <w:color w:val="000000" w:themeColor="text1"/>
        </w:rPr>
        <w:t>entre</w:t>
      </w:r>
      <w:proofErr w:type="gramEnd"/>
      <w:r w:rsidRPr="007E295F">
        <w:rPr>
          <w:color w:val="000000" w:themeColor="text1"/>
        </w:rPr>
        <w:t xml:space="preserve"> « marronnier », transformations sociales et recomposition des mondes », in </w:t>
      </w:r>
      <w:proofErr w:type="spellStart"/>
      <w:r w:rsidRPr="007E295F">
        <w:rPr>
          <w:color w:val="000000" w:themeColor="text1"/>
        </w:rPr>
        <w:t>Mouchtouris</w:t>
      </w:r>
      <w:proofErr w:type="spellEnd"/>
      <w:r w:rsidRPr="007E295F">
        <w:rPr>
          <w:color w:val="000000" w:themeColor="text1"/>
        </w:rPr>
        <w:t xml:space="preserve"> A. (</w:t>
      </w:r>
      <w:proofErr w:type="spellStart"/>
      <w:r w:rsidRPr="007E295F">
        <w:rPr>
          <w:color w:val="000000" w:themeColor="text1"/>
        </w:rPr>
        <w:t>dir</w:t>
      </w:r>
      <w:proofErr w:type="spellEnd"/>
      <w:r w:rsidRPr="007E295F">
        <w:rPr>
          <w:color w:val="000000" w:themeColor="text1"/>
        </w:rPr>
        <w:t xml:space="preserve">.), </w:t>
      </w:r>
      <w:r w:rsidRPr="007E295F">
        <w:rPr>
          <w:i/>
          <w:iCs/>
          <w:color w:val="000000" w:themeColor="text1"/>
        </w:rPr>
        <w:t>Métamorphose de l’existant</w:t>
      </w:r>
      <w:r w:rsidRPr="007E295F">
        <w:rPr>
          <w:color w:val="000000" w:themeColor="text1"/>
        </w:rPr>
        <w:t xml:space="preserve">, </w:t>
      </w:r>
      <w:proofErr w:type="spellStart"/>
      <w:r w:rsidRPr="007E295F">
        <w:rPr>
          <w:color w:val="000000" w:themeColor="text1"/>
        </w:rPr>
        <w:t>ed</w:t>
      </w:r>
      <w:proofErr w:type="spellEnd"/>
      <w:r w:rsidRPr="007E295F">
        <w:rPr>
          <w:color w:val="000000" w:themeColor="text1"/>
        </w:rPr>
        <w:t>. Le Manuscrit, p.221-256.</w:t>
      </w:r>
    </w:p>
    <w:p w14:paraId="27267477" w14:textId="77777777" w:rsidR="00A60CFD" w:rsidRPr="007E295F" w:rsidRDefault="00A60CFD" w:rsidP="00E24E73">
      <w:pPr>
        <w:jc w:val="both"/>
        <w:rPr>
          <w:color w:val="000000" w:themeColor="text1"/>
        </w:rPr>
      </w:pPr>
      <w:r w:rsidRPr="007E295F">
        <w:rPr>
          <w:color w:val="000000" w:themeColor="text1"/>
        </w:rPr>
        <w:t xml:space="preserve">Nicolas-Le Strat Pascal (2016), </w:t>
      </w:r>
      <w:r w:rsidRPr="007E295F">
        <w:rPr>
          <w:i/>
          <w:iCs/>
          <w:color w:val="000000" w:themeColor="text1"/>
        </w:rPr>
        <w:t>Le travail du commun</w:t>
      </w:r>
      <w:r w:rsidRPr="007E295F">
        <w:rPr>
          <w:color w:val="000000" w:themeColor="text1"/>
        </w:rPr>
        <w:t xml:space="preserve">, Saint-Germain sur Ille, Ed. </w:t>
      </w:r>
      <w:proofErr w:type="gramStart"/>
      <w:r w:rsidRPr="007E295F">
        <w:rPr>
          <w:color w:val="000000" w:themeColor="text1"/>
        </w:rPr>
        <w:t>du</w:t>
      </w:r>
      <w:proofErr w:type="gramEnd"/>
      <w:r w:rsidRPr="007E295F">
        <w:rPr>
          <w:color w:val="000000" w:themeColor="text1"/>
        </w:rPr>
        <w:t xml:space="preserve"> commun.</w:t>
      </w:r>
    </w:p>
    <w:p w14:paraId="094EC36A" w14:textId="77777777" w:rsidR="00A60CFD" w:rsidRPr="007E295F" w:rsidRDefault="00A60CFD" w:rsidP="001A0FEA">
      <w:pPr>
        <w:jc w:val="both"/>
        <w:rPr>
          <w:color w:val="000000" w:themeColor="text1"/>
        </w:rPr>
      </w:pPr>
      <w:r w:rsidRPr="007E295F">
        <w:rPr>
          <w:color w:val="000000" w:themeColor="text1"/>
        </w:rPr>
        <w:t>Picote (2020), « Rapport de recherche-action : Territoire d’insertion et d’inclusion (T2I) », Rapport au conseil départemental, juillet, 50 p.</w:t>
      </w:r>
    </w:p>
    <w:p w14:paraId="2DAB663E" w14:textId="77777777" w:rsidR="00A60CFD" w:rsidRPr="007E295F" w:rsidRDefault="00A60CFD" w:rsidP="001A0FEA">
      <w:pPr>
        <w:jc w:val="both"/>
        <w:rPr>
          <w:color w:val="000000" w:themeColor="text1"/>
        </w:rPr>
      </w:pPr>
      <w:r w:rsidRPr="007E295F">
        <w:rPr>
          <w:color w:val="000000" w:themeColor="text1"/>
        </w:rPr>
        <w:t xml:space="preserve">Picote (2022), </w:t>
      </w:r>
      <w:r w:rsidRPr="007E295F">
        <w:rPr>
          <w:i/>
          <w:iCs/>
          <w:color w:val="000000" w:themeColor="text1"/>
        </w:rPr>
        <w:t xml:space="preserve">Les acteurs territoriaux au défi de l’insertion, </w:t>
      </w:r>
      <w:r w:rsidRPr="007E295F">
        <w:rPr>
          <w:color w:val="000000" w:themeColor="text1"/>
        </w:rPr>
        <w:t>Reims, EPURE, coll. « </w:t>
      </w:r>
      <w:proofErr w:type="spellStart"/>
      <w:r w:rsidRPr="007E295F">
        <w:rPr>
          <w:color w:val="000000" w:themeColor="text1"/>
        </w:rPr>
        <w:t>Ressor</w:t>
      </w:r>
      <w:proofErr w:type="spellEnd"/>
      <w:r w:rsidRPr="007E295F">
        <w:rPr>
          <w:color w:val="000000" w:themeColor="text1"/>
        </w:rPr>
        <w:t> »</w:t>
      </w:r>
    </w:p>
    <w:p w14:paraId="4A2BB4C3" w14:textId="6852CA6E" w:rsidR="00DE512B" w:rsidRPr="007E295F" w:rsidRDefault="00DE512B" w:rsidP="00E24E73">
      <w:pPr>
        <w:jc w:val="both"/>
        <w:rPr>
          <w:color w:val="000000" w:themeColor="text1"/>
        </w:rPr>
      </w:pPr>
      <w:r w:rsidRPr="007E295F">
        <w:rPr>
          <w:color w:val="000000" w:themeColor="text1"/>
        </w:rPr>
        <w:t>Rosa</w:t>
      </w:r>
      <w:r w:rsidR="001A0FEA" w:rsidRPr="007E295F">
        <w:rPr>
          <w:color w:val="000000" w:themeColor="text1"/>
        </w:rPr>
        <w:t xml:space="preserve"> </w:t>
      </w:r>
      <w:proofErr w:type="spellStart"/>
      <w:r w:rsidR="001A0FEA" w:rsidRPr="007E295F">
        <w:rPr>
          <w:color w:val="000000" w:themeColor="text1"/>
        </w:rPr>
        <w:t>Hermut</w:t>
      </w:r>
      <w:proofErr w:type="spellEnd"/>
      <w:r w:rsidRPr="007E295F">
        <w:rPr>
          <w:color w:val="000000" w:themeColor="text1"/>
        </w:rPr>
        <w:t xml:space="preserve"> (2013). </w:t>
      </w:r>
      <w:r w:rsidRPr="007E295F">
        <w:rPr>
          <w:i/>
          <w:color w:val="000000" w:themeColor="text1"/>
        </w:rPr>
        <w:t>Accélération. Une critique sociale du temps</w:t>
      </w:r>
      <w:r w:rsidRPr="007E295F">
        <w:rPr>
          <w:color w:val="000000" w:themeColor="text1"/>
        </w:rPr>
        <w:t xml:space="preserve">, Traduction Didier Renault. Paris, La Découverte, coll. « Théorie critique ». </w:t>
      </w:r>
    </w:p>
    <w:p w14:paraId="09C27389" w14:textId="77777777" w:rsidR="005077F2" w:rsidRPr="007E295F" w:rsidRDefault="005077F2" w:rsidP="00E24E73">
      <w:pPr>
        <w:jc w:val="both"/>
        <w:rPr>
          <w:color w:val="000000" w:themeColor="text1"/>
        </w:rPr>
      </w:pPr>
    </w:p>
    <w:sectPr w:rsidR="005077F2" w:rsidRPr="007E29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9FF71" w14:textId="77777777" w:rsidR="000921B8" w:rsidRDefault="000921B8" w:rsidP="00537ADE">
      <w:r>
        <w:separator/>
      </w:r>
    </w:p>
  </w:endnote>
  <w:endnote w:type="continuationSeparator" w:id="0">
    <w:p w14:paraId="4859071F" w14:textId="77777777" w:rsidR="000921B8" w:rsidRDefault="000921B8" w:rsidP="0053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448596"/>
      <w:docPartObj>
        <w:docPartGallery w:val="Page Numbers (Bottom of Page)"/>
        <w:docPartUnique/>
      </w:docPartObj>
    </w:sdtPr>
    <w:sdtEndPr/>
    <w:sdtContent>
      <w:p w14:paraId="7140917B" w14:textId="5AB8086A" w:rsidR="00200B3E" w:rsidRDefault="00200B3E">
        <w:pPr>
          <w:pStyle w:val="Pieddepage"/>
          <w:jc w:val="center"/>
        </w:pPr>
        <w:r>
          <w:fldChar w:fldCharType="begin"/>
        </w:r>
        <w:r>
          <w:instrText>PAGE   \* MERGEFORMAT</w:instrText>
        </w:r>
        <w:r>
          <w:fldChar w:fldCharType="separate"/>
        </w:r>
        <w:r w:rsidR="00A60CFD">
          <w:rPr>
            <w:noProof/>
          </w:rPr>
          <w:t>12</w:t>
        </w:r>
        <w:r>
          <w:fldChar w:fldCharType="end"/>
        </w:r>
      </w:p>
    </w:sdtContent>
  </w:sdt>
  <w:p w14:paraId="551A0841" w14:textId="77777777" w:rsidR="00200B3E" w:rsidRDefault="00200B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7C4ED" w14:textId="77777777" w:rsidR="000921B8" w:rsidRDefault="000921B8" w:rsidP="00537ADE">
      <w:r>
        <w:separator/>
      </w:r>
    </w:p>
  </w:footnote>
  <w:footnote w:type="continuationSeparator" w:id="0">
    <w:p w14:paraId="5560452D" w14:textId="77777777" w:rsidR="000921B8" w:rsidRDefault="000921B8" w:rsidP="00537ADE">
      <w:r>
        <w:continuationSeparator/>
      </w:r>
    </w:p>
  </w:footnote>
  <w:footnote w:id="1">
    <w:p w14:paraId="013D41D6" w14:textId="7CF6395C" w:rsidR="0010533D" w:rsidRPr="0010533D" w:rsidRDefault="0010533D" w:rsidP="0010533D">
      <w:pPr>
        <w:pStyle w:val="Notedebasdepage"/>
        <w:jc w:val="both"/>
        <w:rPr>
          <w:sz w:val="20"/>
          <w:szCs w:val="20"/>
        </w:rPr>
      </w:pPr>
      <w:r w:rsidRPr="0010533D">
        <w:rPr>
          <w:rStyle w:val="Appelnotedebasdep"/>
          <w:sz w:val="20"/>
          <w:szCs w:val="20"/>
        </w:rPr>
        <w:footnoteRef/>
      </w:r>
      <w:r w:rsidRPr="0010533D">
        <w:rPr>
          <w:sz w:val="20"/>
          <w:szCs w:val="20"/>
        </w:rPr>
        <w:t xml:space="preserve"> Communication écrite par les auteurs mentionnés, à partir d’une recherche</w:t>
      </w:r>
      <w:r w:rsidR="00252443">
        <w:rPr>
          <w:sz w:val="20"/>
          <w:szCs w:val="20"/>
        </w:rPr>
        <w:t>-action</w:t>
      </w:r>
      <w:r w:rsidRPr="0010533D">
        <w:rPr>
          <w:sz w:val="20"/>
          <w:szCs w:val="20"/>
        </w:rPr>
        <w:t xml:space="preserve"> conduite par le collectif PICOTE, associant, en plus trois </w:t>
      </w:r>
      <w:r w:rsidR="00252443">
        <w:rPr>
          <w:sz w:val="20"/>
          <w:szCs w:val="20"/>
        </w:rPr>
        <w:t>chercheures</w:t>
      </w:r>
      <w:r w:rsidRPr="0010533D">
        <w:rPr>
          <w:sz w:val="20"/>
          <w:szCs w:val="20"/>
        </w:rPr>
        <w:t xml:space="preserve"> : </w:t>
      </w:r>
      <w:proofErr w:type="spellStart"/>
      <w:r w:rsidRPr="0010533D">
        <w:rPr>
          <w:sz w:val="20"/>
          <w:szCs w:val="20"/>
        </w:rPr>
        <w:t>Khoudia</w:t>
      </w:r>
      <w:proofErr w:type="spellEnd"/>
      <w:r w:rsidRPr="0010533D">
        <w:rPr>
          <w:sz w:val="20"/>
          <w:szCs w:val="20"/>
        </w:rPr>
        <w:t xml:space="preserve"> </w:t>
      </w:r>
      <w:proofErr w:type="spellStart"/>
      <w:r w:rsidRPr="0010533D">
        <w:rPr>
          <w:sz w:val="20"/>
          <w:szCs w:val="20"/>
        </w:rPr>
        <w:t>Guèye</w:t>
      </w:r>
      <w:proofErr w:type="spellEnd"/>
      <w:r w:rsidR="00122C2B">
        <w:rPr>
          <w:sz w:val="20"/>
          <w:szCs w:val="20"/>
        </w:rPr>
        <w:t xml:space="preserve"> (CEREFIGE Université de Lorraine)</w:t>
      </w:r>
      <w:r w:rsidRPr="0010533D">
        <w:rPr>
          <w:sz w:val="20"/>
          <w:szCs w:val="20"/>
        </w:rPr>
        <w:t xml:space="preserve">, Isabelle </w:t>
      </w:r>
      <w:proofErr w:type="spellStart"/>
      <w:r w:rsidRPr="0010533D">
        <w:rPr>
          <w:sz w:val="20"/>
          <w:szCs w:val="20"/>
        </w:rPr>
        <w:t>Houot</w:t>
      </w:r>
      <w:proofErr w:type="spellEnd"/>
      <w:r w:rsidR="00122C2B">
        <w:rPr>
          <w:sz w:val="20"/>
          <w:szCs w:val="20"/>
        </w:rPr>
        <w:t xml:space="preserve"> (LISEC, Université de Lorraine)</w:t>
      </w:r>
      <w:r w:rsidRPr="0010533D">
        <w:rPr>
          <w:sz w:val="20"/>
          <w:szCs w:val="20"/>
        </w:rPr>
        <w:t xml:space="preserve"> et Delphine </w:t>
      </w:r>
      <w:proofErr w:type="spellStart"/>
      <w:r w:rsidRPr="0010533D">
        <w:rPr>
          <w:sz w:val="20"/>
          <w:szCs w:val="20"/>
        </w:rPr>
        <w:t>Wannenmacher</w:t>
      </w:r>
      <w:proofErr w:type="spellEnd"/>
      <w:r w:rsidR="00122C2B">
        <w:rPr>
          <w:sz w:val="20"/>
          <w:szCs w:val="20"/>
        </w:rPr>
        <w:t xml:space="preserve"> (CEREFIGE, Université de Lorraine)</w:t>
      </w:r>
      <w:r w:rsidR="00252443">
        <w:rPr>
          <w:sz w:val="20"/>
          <w:szCs w:val="20"/>
        </w:rPr>
        <w:t>.</w:t>
      </w:r>
    </w:p>
  </w:footnote>
  <w:footnote w:id="2">
    <w:p w14:paraId="2C9E76E6" w14:textId="7683EE6A" w:rsidR="00200B3E" w:rsidRPr="00200B3E" w:rsidRDefault="00200B3E" w:rsidP="00200B3E">
      <w:pPr>
        <w:pStyle w:val="Notedebasdepage"/>
        <w:contextualSpacing/>
        <w:jc w:val="both"/>
        <w:rPr>
          <w:sz w:val="20"/>
          <w:szCs w:val="20"/>
        </w:rPr>
      </w:pPr>
      <w:r w:rsidRPr="00200B3E">
        <w:rPr>
          <w:rStyle w:val="Appelnotedebasdep"/>
          <w:sz w:val="20"/>
          <w:szCs w:val="20"/>
        </w:rPr>
        <w:footnoteRef/>
      </w:r>
      <w:r w:rsidRPr="00200B3E">
        <w:rPr>
          <w:sz w:val="20"/>
          <w:szCs w:val="20"/>
        </w:rPr>
        <w:t xml:space="preserve"> </w:t>
      </w:r>
      <w:r w:rsidRPr="00E10060">
        <w:rPr>
          <w:sz w:val="20"/>
          <w:szCs w:val="20"/>
        </w:rPr>
        <w:t>Inscrit comme tout point de vue dans des statuts sociaux, des jeux de pouvoir, des intérêts individuels et collectifs, des ambitions, des idéologies, des pratiques sociales, etc.</w:t>
      </w:r>
    </w:p>
  </w:footnote>
  <w:footnote w:id="3">
    <w:p w14:paraId="4599755E" w14:textId="25A7EE35" w:rsidR="00200B3E" w:rsidRPr="00200B3E" w:rsidRDefault="00200B3E" w:rsidP="00200B3E">
      <w:pPr>
        <w:pStyle w:val="Notedebasdepage"/>
        <w:contextualSpacing/>
        <w:jc w:val="both"/>
        <w:rPr>
          <w:sz w:val="20"/>
          <w:szCs w:val="20"/>
        </w:rPr>
      </w:pPr>
      <w:r w:rsidRPr="00200B3E">
        <w:rPr>
          <w:rStyle w:val="Appelnotedebasdep"/>
          <w:sz w:val="20"/>
          <w:szCs w:val="20"/>
        </w:rPr>
        <w:footnoteRef/>
      </w:r>
      <w:r w:rsidRPr="00200B3E">
        <w:rPr>
          <w:sz w:val="20"/>
          <w:szCs w:val="20"/>
        </w:rPr>
        <w:t xml:space="preserve"> La formulation de faits alternatifs aux données épidémiologiques évolutives autour du « moment covid » (</w:t>
      </w:r>
      <w:proofErr w:type="spellStart"/>
      <w:r w:rsidRPr="00200B3E">
        <w:rPr>
          <w:sz w:val="20"/>
          <w:szCs w:val="20"/>
        </w:rPr>
        <w:t>Levilain</w:t>
      </w:r>
      <w:proofErr w:type="spellEnd"/>
      <w:r w:rsidRPr="00200B3E">
        <w:rPr>
          <w:sz w:val="20"/>
          <w:szCs w:val="20"/>
        </w:rPr>
        <w:t>, 2022) illustrent cette tendance avec force</w:t>
      </w:r>
      <w:r w:rsidRPr="00E10060">
        <w:rPr>
          <w:sz w:val="20"/>
          <w:szCs w:val="20"/>
        </w:rPr>
        <w:t>, contribuant à décomplexifier le réel autour de clivages simplistes.</w:t>
      </w:r>
    </w:p>
  </w:footnote>
  <w:footnote w:id="4">
    <w:p w14:paraId="757B6DBC" w14:textId="32890481" w:rsidR="00200B3E" w:rsidRPr="00E10060" w:rsidRDefault="00200B3E" w:rsidP="00200B3E">
      <w:pPr>
        <w:pStyle w:val="Notedebasdepage"/>
        <w:contextualSpacing/>
        <w:jc w:val="both"/>
        <w:rPr>
          <w:sz w:val="20"/>
          <w:szCs w:val="20"/>
        </w:rPr>
      </w:pPr>
      <w:r w:rsidRPr="00864CE4">
        <w:rPr>
          <w:rStyle w:val="Appelnotedebasdep"/>
          <w:sz w:val="20"/>
          <w:szCs w:val="20"/>
        </w:rPr>
        <w:footnoteRef/>
      </w:r>
      <w:r w:rsidR="00CA3FAE" w:rsidRPr="00864CE4">
        <w:rPr>
          <w:sz w:val="20"/>
          <w:szCs w:val="20"/>
        </w:rPr>
        <w:t xml:space="preserve"> Au</w:t>
      </w:r>
      <w:r w:rsidR="00CA3FAE">
        <w:rPr>
          <w:sz w:val="20"/>
          <w:szCs w:val="20"/>
        </w:rPr>
        <w:t xml:space="preserve"> sens proposé par Bruno Latour (</w:t>
      </w:r>
      <w:r w:rsidR="00F94EB1">
        <w:rPr>
          <w:sz w:val="20"/>
          <w:szCs w:val="20"/>
        </w:rPr>
        <w:t>2005/2007) qui demande de suivre les connexions établies entre différents acteurs. Il s’agit de comprendre la production ou non d’une organisation sociale et de la caractériser à partir des activités qui sont déployées entre les acteurs (nous n’inclurons pas dans ces analyses les actants non-humain)</w:t>
      </w:r>
      <w:r w:rsidRPr="00E10060">
        <w:rPr>
          <w:sz w:val="20"/>
          <w:szCs w:val="20"/>
        </w:rPr>
        <w:t>.</w:t>
      </w:r>
    </w:p>
  </w:footnote>
  <w:footnote w:id="5">
    <w:p w14:paraId="20E9CBAE" w14:textId="46B02D5B" w:rsidR="00200B3E" w:rsidRPr="00200B3E" w:rsidRDefault="00200B3E" w:rsidP="00200B3E">
      <w:pPr>
        <w:pStyle w:val="Notedebasdepage"/>
        <w:contextualSpacing/>
        <w:jc w:val="both"/>
        <w:rPr>
          <w:sz w:val="20"/>
          <w:szCs w:val="20"/>
        </w:rPr>
      </w:pPr>
      <w:r w:rsidRPr="00200B3E">
        <w:rPr>
          <w:rStyle w:val="Appelnotedebasdep"/>
          <w:sz w:val="20"/>
          <w:szCs w:val="20"/>
        </w:rPr>
        <w:footnoteRef/>
      </w:r>
      <w:r w:rsidRPr="00200B3E">
        <w:rPr>
          <w:sz w:val="20"/>
          <w:szCs w:val="20"/>
        </w:rPr>
        <w:t xml:space="preserve"> </w:t>
      </w:r>
      <w:r w:rsidRPr="00E10060">
        <w:rPr>
          <w:sz w:val="20"/>
          <w:szCs w:val="20"/>
        </w:rPr>
        <w:t>Au sens spinoziste.</w:t>
      </w:r>
    </w:p>
  </w:footnote>
  <w:footnote w:id="6">
    <w:p w14:paraId="13BE73CD" w14:textId="77777777" w:rsidR="00200B3E" w:rsidRPr="00E10060" w:rsidRDefault="00200B3E" w:rsidP="00E10060">
      <w:pPr>
        <w:pStyle w:val="Notedebasdepage"/>
        <w:contextualSpacing/>
        <w:jc w:val="both"/>
        <w:rPr>
          <w:sz w:val="20"/>
          <w:szCs w:val="20"/>
        </w:rPr>
      </w:pPr>
      <w:r w:rsidRPr="00E10060">
        <w:rPr>
          <w:rStyle w:val="Appelnotedebasdep"/>
          <w:rFonts w:eastAsiaTheme="majorEastAsia"/>
          <w:sz w:val="20"/>
          <w:szCs w:val="20"/>
        </w:rPr>
        <w:footnoteRef/>
      </w:r>
      <w:r w:rsidRPr="00E10060">
        <w:rPr>
          <w:sz w:val="20"/>
          <w:szCs w:val="20"/>
        </w:rPr>
        <w:t xml:space="preserve"> Précisons néanmoins que Jean-François </w:t>
      </w:r>
      <w:proofErr w:type="spellStart"/>
      <w:r w:rsidRPr="00E10060">
        <w:rPr>
          <w:sz w:val="20"/>
          <w:szCs w:val="20"/>
        </w:rPr>
        <w:t>Delfraissy</w:t>
      </w:r>
      <w:proofErr w:type="spellEnd"/>
      <w:r w:rsidRPr="00E10060">
        <w:rPr>
          <w:sz w:val="20"/>
          <w:szCs w:val="20"/>
        </w:rPr>
        <w:t>, président de ce conseil scientifique, ancien directeur de l’Agence Nationale de Recherche sur le Sida et les hépatites (ANRS) et président du comité consultatif national d’éthique, du fait de son expérience dans la co-construction des réponses à la pandémie du VIH/Sida avec les associations militantes et représentatives des personnes concernées, n’a eu de cesse de conseiller au gouvernement d’impliquer la société civile dans la construction des réponses publiques, sociales et sanitaires au Covid, sans jamais être entendu sur ce point.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024"/>
    <w:multiLevelType w:val="hybridMultilevel"/>
    <w:tmpl w:val="A43C1A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594A8E"/>
    <w:multiLevelType w:val="hybridMultilevel"/>
    <w:tmpl w:val="BEF44C0C"/>
    <w:lvl w:ilvl="0" w:tplc="5BC85B30">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004D71"/>
    <w:multiLevelType w:val="hybridMultilevel"/>
    <w:tmpl w:val="9B6613BA"/>
    <w:lvl w:ilvl="0" w:tplc="5D062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35430120">
    <w:abstractNumId w:val="0"/>
  </w:num>
  <w:num w:numId="2" w16cid:durableId="1591355714">
    <w:abstractNumId w:val="1"/>
  </w:num>
  <w:num w:numId="3" w16cid:durableId="1326664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4A"/>
    <w:rsid w:val="00010FCA"/>
    <w:rsid w:val="00041688"/>
    <w:rsid w:val="00047437"/>
    <w:rsid w:val="000921B8"/>
    <w:rsid w:val="00093A4A"/>
    <w:rsid w:val="000A1097"/>
    <w:rsid w:val="000A585B"/>
    <w:rsid w:val="000C604F"/>
    <w:rsid w:val="000F4F4C"/>
    <w:rsid w:val="000F54D3"/>
    <w:rsid w:val="000F5B4B"/>
    <w:rsid w:val="0010533D"/>
    <w:rsid w:val="00122C2B"/>
    <w:rsid w:val="00152214"/>
    <w:rsid w:val="00154C6F"/>
    <w:rsid w:val="00171293"/>
    <w:rsid w:val="00171895"/>
    <w:rsid w:val="001865D1"/>
    <w:rsid w:val="00187CD5"/>
    <w:rsid w:val="001A0FEA"/>
    <w:rsid w:val="001D093E"/>
    <w:rsid w:val="001D72A5"/>
    <w:rsid w:val="00200B3E"/>
    <w:rsid w:val="00206704"/>
    <w:rsid w:val="0021012E"/>
    <w:rsid w:val="00221587"/>
    <w:rsid w:val="00246FD1"/>
    <w:rsid w:val="00252443"/>
    <w:rsid w:val="002766B7"/>
    <w:rsid w:val="00277B65"/>
    <w:rsid w:val="00283AA5"/>
    <w:rsid w:val="002A001E"/>
    <w:rsid w:val="002B494A"/>
    <w:rsid w:val="002F2BE2"/>
    <w:rsid w:val="00303B55"/>
    <w:rsid w:val="00314BB8"/>
    <w:rsid w:val="00323D03"/>
    <w:rsid w:val="003C5B8F"/>
    <w:rsid w:val="003D0A6C"/>
    <w:rsid w:val="0040110C"/>
    <w:rsid w:val="00450079"/>
    <w:rsid w:val="0045610D"/>
    <w:rsid w:val="004A0F95"/>
    <w:rsid w:val="004C3CA3"/>
    <w:rsid w:val="004C628A"/>
    <w:rsid w:val="00505695"/>
    <w:rsid w:val="005077F2"/>
    <w:rsid w:val="0053093A"/>
    <w:rsid w:val="00537ADE"/>
    <w:rsid w:val="00551606"/>
    <w:rsid w:val="00586E5E"/>
    <w:rsid w:val="0059477A"/>
    <w:rsid w:val="005D4BCC"/>
    <w:rsid w:val="00616D85"/>
    <w:rsid w:val="00623772"/>
    <w:rsid w:val="00654139"/>
    <w:rsid w:val="0068001C"/>
    <w:rsid w:val="006E2A15"/>
    <w:rsid w:val="006F261E"/>
    <w:rsid w:val="006F6480"/>
    <w:rsid w:val="006F6923"/>
    <w:rsid w:val="007115C1"/>
    <w:rsid w:val="0075293C"/>
    <w:rsid w:val="00760A8D"/>
    <w:rsid w:val="007A22F6"/>
    <w:rsid w:val="007E295F"/>
    <w:rsid w:val="00851079"/>
    <w:rsid w:val="00864CE4"/>
    <w:rsid w:val="008A05F7"/>
    <w:rsid w:val="008B5A45"/>
    <w:rsid w:val="008D2039"/>
    <w:rsid w:val="008D57D6"/>
    <w:rsid w:val="008D7B0B"/>
    <w:rsid w:val="008F74FE"/>
    <w:rsid w:val="0090582C"/>
    <w:rsid w:val="00926A1A"/>
    <w:rsid w:val="00950F7C"/>
    <w:rsid w:val="009A6A4C"/>
    <w:rsid w:val="009F1F14"/>
    <w:rsid w:val="00A242BD"/>
    <w:rsid w:val="00A60CFD"/>
    <w:rsid w:val="00A74567"/>
    <w:rsid w:val="00A85A73"/>
    <w:rsid w:val="00A90E9E"/>
    <w:rsid w:val="00A935D4"/>
    <w:rsid w:val="00AF5692"/>
    <w:rsid w:val="00AF759A"/>
    <w:rsid w:val="00B40DB4"/>
    <w:rsid w:val="00B95441"/>
    <w:rsid w:val="00BC249E"/>
    <w:rsid w:val="00C02147"/>
    <w:rsid w:val="00C02754"/>
    <w:rsid w:val="00C3089A"/>
    <w:rsid w:val="00C31610"/>
    <w:rsid w:val="00C70182"/>
    <w:rsid w:val="00C913E6"/>
    <w:rsid w:val="00CA3FAE"/>
    <w:rsid w:val="00CD28ED"/>
    <w:rsid w:val="00D1281A"/>
    <w:rsid w:val="00D45421"/>
    <w:rsid w:val="00D85457"/>
    <w:rsid w:val="00DC47C0"/>
    <w:rsid w:val="00DD2FE1"/>
    <w:rsid w:val="00DE0485"/>
    <w:rsid w:val="00DE103A"/>
    <w:rsid w:val="00DE512B"/>
    <w:rsid w:val="00E10060"/>
    <w:rsid w:val="00E24E73"/>
    <w:rsid w:val="00E57518"/>
    <w:rsid w:val="00E653F2"/>
    <w:rsid w:val="00E7491E"/>
    <w:rsid w:val="00E9566E"/>
    <w:rsid w:val="00EB42C6"/>
    <w:rsid w:val="00EC1943"/>
    <w:rsid w:val="00F344AD"/>
    <w:rsid w:val="00F518D9"/>
    <w:rsid w:val="00F81F64"/>
    <w:rsid w:val="00F86DC1"/>
    <w:rsid w:val="00F94EB1"/>
    <w:rsid w:val="00FD0260"/>
    <w:rsid w:val="00FD4D39"/>
    <w:rsid w:val="00FD7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CBDA"/>
  <w15:chartTrackingRefBased/>
  <w15:docId w15:val="{DC6B2D04-2F5E-47A6-A7E5-E2293FC7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4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628A"/>
    <w:pPr>
      <w:ind w:left="720"/>
      <w:contextualSpacing/>
    </w:pPr>
  </w:style>
  <w:style w:type="paragraph" w:styleId="En-tte">
    <w:name w:val="header"/>
    <w:basedOn w:val="Normal"/>
    <w:link w:val="En-tteCar"/>
    <w:uiPriority w:val="99"/>
    <w:unhideWhenUsed/>
    <w:rsid w:val="00537ADE"/>
    <w:pPr>
      <w:tabs>
        <w:tab w:val="center" w:pos="4536"/>
        <w:tab w:val="right" w:pos="9072"/>
      </w:tabs>
    </w:pPr>
  </w:style>
  <w:style w:type="character" w:customStyle="1" w:styleId="En-tteCar">
    <w:name w:val="En-tête Car"/>
    <w:basedOn w:val="Policepardfaut"/>
    <w:link w:val="En-tte"/>
    <w:uiPriority w:val="99"/>
    <w:rsid w:val="00537AD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37ADE"/>
    <w:pPr>
      <w:tabs>
        <w:tab w:val="center" w:pos="4536"/>
        <w:tab w:val="right" w:pos="9072"/>
      </w:tabs>
    </w:pPr>
  </w:style>
  <w:style w:type="character" w:customStyle="1" w:styleId="PieddepageCar">
    <w:name w:val="Pied de page Car"/>
    <w:basedOn w:val="Policepardfaut"/>
    <w:link w:val="Pieddepage"/>
    <w:uiPriority w:val="99"/>
    <w:rsid w:val="00537ADE"/>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qFormat/>
    <w:rsid w:val="00283AA5"/>
  </w:style>
  <w:style w:type="character" w:customStyle="1" w:styleId="NotedebasdepageCar">
    <w:name w:val="Note de bas de page Car"/>
    <w:basedOn w:val="Policepardfaut"/>
    <w:link w:val="Notedebasdepage"/>
    <w:uiPriority w:val="99"/>
    <w:rsid w:val="00283AA5"/>
    <w:rPr>
      <w:rFonts w:ascii="Times New Roman" w:eastAsia="Times New Roman" w:hAnsi="Times New Roman" w:cs="Times New Roman"/>
      <w:sz w:val="24"/>
      <w:szCs w:val="24"/>
      <w:lang w:eastAsia="fr-FR"/>
    </w:rPr>
  </w:style>
  <w:style w:type="character" w:styleId="Appelnotedebasdep">
    <w:name w:val="footnote reference"/>
    <w:basedOn w:val="Policepardfaut"/>
    <w:uiPriority w:val="99"/>
    <w:unhideWhenUsed/>
    <w:rsid w:val="00283AA5"/>
    <w:rPr>
      <w:vertAlign w:val="superscript"/>
    </w:rPr>
  </w:style>
  <w:style w:type="paragraph" w:styleId="Rvision">
    <w:name w:val="Revision"/>
    <w:hidden/>
    <w:uiPriority w:val="99"/>
    <w:semiHidden/>
    <w:rsid w:val="00851079"/>
    <w:pPr>
      <w:spacing w:after="0" w:line="240" w:lineRule="auto"/>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9A6A4C"/>
    <w:rPr>
      <w:sz w:val="16"/>
      <w:szCs w:val="16"/>
    </w:rPr>
  </w:style>
  <w:style w:type="paragraph" w:styleId="Commentaire">
    <w:name w:val="annotation text"/>
    <w:basedOn w:val="Normal"/>
    <w:link w:val="CommentaireCar"/>
    <w:uiPriority w:val="99"/>
    <w:semiHidden/>
    <w:unhideWhenUsed/>
    <w:rsid w:val="009A6A4C"/>
    <w:rPr>
      <w:sz w:val="20"/>
      <w:szCs w:val="20"/>
    </w:rPr>
  </w:style>
  <w:style w:type="character" w:customStyle="1" w:styleId="CommentaireCar">
    <w:name w:val="Commentaire Car"/>
    <w:basedOn w:val="Policepardfaut"/>
    <w:link w:val="Commentaire"/>
    <w:uiPriority w:val="99"/>
    <w:semiHidden/>
    <w:rsid w:val="009A6A4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A6A4C"/>
    <w:rPr>
      <w:b/>
      <w:bCs/>
    </w:rPr>
  </w:style>
  <w:style w:type="character" w:customStyle="1" w:styleId="ObjetducommentaireCar">
    <w:name w:val="Objet du commentaire Car"/>
    <w:basedOn w:val="CommentaireCar"/>
    <w:link w:val="Objetducommentaire"/>
    <w:uiPriority w:val="99"/>
    <w:semiHidden/>
    <w:rsid w:val="009A6A4C"/>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F759A"/>
    <w:pPr>
      <w:spacing w:before="100" w:beforeAutospacing="1" w:after="100" w:afterAutospacing="1"/>
    </w:pPr>
  </w:style>
  <w:style w:type="paragraph" w:styleId="Textedebulles">
    <w:name w:val="Balloon Text"/>
    <w:basedOn w:val="Normal"/>
    <w:link w:val="TextedebullesCar"/>
    <w:uiPriority w:val="99"/>
    <w:semiHidden/>
    <w:unhideWhenUsed/>
    <w:rsid w:val="00200B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0B3E"/>
    <w:rPr>
      <w:rFonts w:ascii="Segoe UI" w:eastAsia="Times New Roman" w:hAnsi="Segoe UI" w:cs="Segoe UI"/>
      <w:sz w:val="18"/>
      <w:szCs w:val="18"/>
      <w:lang w:eastAsia="fr-FR"/>
    </w:rPr>
  </w:style>
  <w:style w:type="paragraph" w:customStyle="1" w:styleId="Standard">
    <w:name w:val="Standard"/>
    <w:rsid w:val="0010533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0625">
      <w:bodyDiv w:val="1"/>
      <w:marLeft w:val="0"/>
      <w:marRight w:val="0"/>
      <w:marTop w:val="0"/>
      <w:marBottom w:val="0"/>
      <w:divBdr>
        <w:top w:val="none" w:sz="0" w:space="0" w:color="auto"/>
        <w:left w:val="none" w:sz="0" w:space="0" w:color="auto"/>
        <w:bottom w:val="none" w:sz="0" w:space="0" w:color="auto"/>
        <w:right w:val="none" w:sz="0" w:space="0" w:color="auto"/>
      </w:divBdr>
      <w:divsChild>
        <w:div w:id="253369057">
          <w:marLeft w:val="0"/>
          <w:marRight w:val="0"/>
          <w:marTop w:val="0"/>
          <w:marBottom w:val="0"/>
          <w:divBdr>
            <w:top w:val="none" w:sz="0" w:space="0" w:color="auto"/>
            <w:left w:val="none" w:sz="0" w:space="0" w:color="auto"/>
            <w:bottom w:val="none" w:sz="0" w:space="0" w:color="auto"/>
            <w:right w:val="none" w:sz="0" w:space="0" w:color="auto"/>
          </w:divBdr>
          <w:divsChild>
            <w:div w:id="268777436">
              <w:marLeft w:val="0"/>
              <w:marRight w:val="0"/>
              <w:marTop w:val="0"/>
              <w:marBottom w:val="0"/>
              <w:divBdr>
                <w:top w:val="none" w:sz="0" w:space="0" w:color="auto"/>
                <w:left w:val="none" w:sz="0" w:space="0" w:color="auto"/>
                <w:bottom w:val="none" w:sz="0" w:space="0" w:color="auto"/>
                <w:right w:val="none" w:sz="0" w:space="0" w:color="auto"/>
              </w:divBdr>
              <w:divsChild>
                <w:div w:id="108646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7685">
      <w:bodyDiv w:val="1"/>
      <w:marLeft w:val="0"/>
      <w:marRight w:val="0"/>
      <w:marTop w:val="0"/>
      <w:marBottom w:val="0"/>
      <w:divBdr>
        <w:top w:val="none" w:sz="0" w:space="0" w:color="auto"/>
        <w:left w:val="none" w:sz="0" w:space="0" w:color="auto"/>
        <w:bottom w:val="none" w:sz="0" w:space="0" w:color="auto"/>
        <w:right w:val="none" w:sz="0" w:space="0" w:color="auto"/>
      </w:divBdr>
      <w:divsChild>
        <w:div w:id="1226648644">
          <w:marLeft w:val="0"/>
          <w:marRight w:val="0"/>
          <w:marTop w:val="0"/>
          <w:marBottom w:val="0"/>
          <w:divBdr>
            <w:top w:val="none" w:sz="0" w:space="0" w:color="auto"/>
            <w:left w:val="none" w:sz="0" w:space="0" w:color="auto"/>
            <w:bottom w:val="none" w:sz="0" w:space="0" w:color="auto"/>
            <w:right w:val="none" w:sz="0" w:space="0" w:color="auto"/>
          </w:divBdr>
          <w:divsChild>
            <w:div w:id="1001590393">
              <w:marLeft w:val="0"/>
              <w:marRight w:val="0"/>
              <w:marTop w:val="0"/>
              <w:marBottom w:val="0"/>
              <w:divBdr>
                <w:top w:val="none" w:sz="0" w:space="0" w:color="auto"/>
                <w:left w:val="none" w:sz="0" w:space="0" w:color="auto"/>
                <w:bottom w:val="none" w:sz="0" w:space="0" w:color="auto"/>
                <w:right w:val="none" w:sz="0" w:space="0" w:color="auto"/>
              </w:divBdr>
              <w:divsChild>
                <w:div w:id="3410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7399</Words>
  <Characters>40699</Characters>
  <Application>Microsoft Office Word</Application>
  <DocSecurity>0</DocSecurity>
  <Lines>339</Lines>
  <Paragraphs>96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starck5</dc:creator>
  <cp:keywords/>
  <dc:description/>
  <cp:lastModifiedBy>Melaine Cervera</cp:lastModifiedBy>
  <cp:revision>12</cp:revision>
  <cp:lastPrinted>2022-05-12T07:23:00Z</cp:lastPrinted>
  <dcterms:created xsi:type="dcterms:W3CDTF">2022-05-17T12:07:00Z</dcterms:created>
  <dcterms:modified xsi:type="dcterms:W3CDTF">2022-05-17T12:59:00Z</dcterms:modified>
</cp:coreProperties>
</file>